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3BF8D4E8" w:rsidR="00902D2F" w:rsidRPr="00041E45" w:rsidRDefault="006622DD" w:rsidP="00B41C02">
      <w:pPr>
        <w:jc w:val="both"/>
        <w:rPr>
          <w:rFonts w:ascii="Tahoma" w:hAnsi="Tahoma" w:cs="Tahoma"/>
          <w:sz w:val="32"/>
          <w:szCs w:val="32"/>
          <w:u w:val="single"/>
        </w:rPr>
      </w:pPr>
      <w:r>
        <w:rPr>
          <w:rFonts w:ascii="Tahoma" w:hAnsi="Tahoma" w:cs="Tahoma"/>
          <w:sz w:val="32"/>
          <w:szCs w:val="32"/>
          <w:u w:val="single"/>
        </w:rPr>
        <w:t>Month</w:t>
      </w:r>
    </w:p>
    <w:p w14:paraId="2862B446" w14:textId="402D035D" w:rsidR="00902D2F" w:rsidRDefault="006622DD" w:rsidP="00B41C02">
      <w:pPr>
        <w:jc w:val="both"/>
        <w:rPr>
          <w:rFonts w:ascii="Tahoma" w:hAnsi="Tahoma" w:cs="Tahoma"/>
        </w:rPr>
      </w:pPr>
      <w:r>
        <w:rPr>
          <w:noProof/>
        </w:rPr>
        <w:drawing>
          <wp:inline distT="0" distB="0" distL="0" distR="0" wp14:anchorId="37FB2E5E" wp14:editId="06B821F0">
            <wp:extent cx="5760720" cy="4320540"/>
            <wp:effectExtent l="0" t="0" r="0" b="3810"/>
            <wp:docPr id="5213888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45F75510"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0021D8">
        <w:rPr>
          <w:rFonts w:ascii="Tahoma" w:hAnsi="Tahoma" w:cs="Tahoma"/>
        </w:rPr>
        <w:t xml:space="preserve">e graphique mensuel sert ici à </w:t>
      </w:r>
      <w:r w:rsidR="000409CB">
        <w:rPr>
          <w:rFonts w:ascii="Tahoma" w:hAnsi="Tahoma" w:cs="Tahoma"/>
        </w:rPr>
        <w:t>déterminer</w:t>
      </w:r>
      <w:r w:rsidR="000021D8">
        <w:rPr>
          <w:rFonts w:ascii="Tahoma" w:hAnsi="Tahoma" w:cs="Tahoma"/>
        </w:rPr>
        <w:t xml:space="preserve"> le niveau des supports et résistances de long terme</w:t>
      </w:r>
      <w:r w:rsidR="00602AA9">
        <w:rPr>
          <w:rFonts w:ascii="Tahoma" w:hAnsi="Tahoma" w:cs="Tahoma"/>
        </w:rPr>
        <w:t>. Ils</w:t>
      </w:r>
      <w:r w:rsidR="000021D8">
        <w:rPr>
          <w:rFonts w:ascii="Tahoma" w:hAnsi="Tahoma" w:cs="Tahoma"/>
        </w:rPr>
        <w:t xml:space="preserve"> ont bougé depuis que le contrat juin 2025 est devenu la référence du futur allemand</w:t>
      </w:r>
      <w:r w:rsidR="00602AA9">
        <w:rPr>
          <w:rFonts w:ascii="Tahoma" w:hAnsi="Tahoma" w:cs="Tahoma"/>
        </w:rPr>
        <w:t xml:space="preserve"> et que l’historique du contrat Bund inclue le spread inter echéance </w:t>
      </w:r>
      <w:r w:rsidR="000021D8">
        <w:rPr>
          <w:rFonts w:ascii="Tahoma" w:hAnsi="Tahoma" w:cs="Tahoma"/>
        </w:rPr>
        <w:t>.</w:t>
      </w:r>
    </w:p>
    <w:p w14:paraId="01B787D4" w14:textId="58B68744" w:rsidR="006622DD" w:rsidRDefault="000021D8" w:rsidP="00B41C02">
      <w:pPr>
        <w:jc w:val="both"/>
        <w:rPr>
          <w:rFonts w:ascii="Tahoma" w:hAnsi="Tahoma" w:cs="Tahoma"/>
        </w:rPr>
      </w:pPr>
      <w:r>
        <w:rPr>
          <w:rFonts w:ascii="Tahoma" w:hAnsi="Tahoma" w:cs="Tahoma"/>
        </w:rPr>
        <w:t xml:space="preserve">Ainsi comme on l’observe sur le graphique, les supports se situent </w:t>
      </w:r>
      <w:r w:rsidR="00FC135F">
        <w:rPr>
          <w:rFonts w:ascii="Tahoma" w:hAnsi="Tahoma" w:cs="Tahoma"/>
        </w:rPr>
        <w:t>maintenant</w:t>
      </w:r>
      <w:r>
        <w:rPr>
          <w:rFonts w:ascii="Tahoma" w:hAnsi="Tahoma" w:cs="Tahoma"/>
        </w:rPr>
        <w:t xml:space="preserve"> sur 127.40 et 122.10 avec respectivement un plat passé de SSB et de KS. Les </w:t>
      </w:r>
      <w:r w:rsidR="000409CB">
        <w:rPr>
          <w:rFonts w:ascii="Tahoma" w:hAnsi="Tahoma" w:cs="Tahoma"/>
        </w:rPr>
        <w:t>résistances</w:t>
      </w:r>
      <w:r>
        <w:rPr>
          <w:rFonts w:ascii="Tahoma" w:hAnsi="Tahoma" w:cs="Tahoma"/>
        </w:rPr>
        <w:t xml:space="preserve"> sont fixées sur 136.80 et 146.20, elles matérialisent des plats de KS </w:t>
      </w:r>
      <w:r w:rsidR="00063C65">
        <w:rPr>
          <w:rFonts w:ascii="Tahoma" w:hAnsi="Tahoma" w:cs="Tahoma"/>
        </w:rPr>
        <w:t xml:space="preserve">pour la première </w:t>
      </w:r>
      <w:r w:rsidR="00534F8E">
        <w:rPr>
          <w:rFonts w:ascii="Tahoma" w:hAnsi="Tahoma" w:cs="Tahoma"/>
        </w:rPr>
        <w:t>comme</w:t>
      </w:r>
      <w:r w:rsidR="00063C65">
        <w:rPr>
          <w:rFonts w:ascii="Tahoma" w:hAnsi="Tahoma" w:cs="Tahoma"/>
        </w:rPr>
        <w:t xml:space="preserve"> pour la seconde.</w:t>
      </w:r>
    </w:p>
    <w:p w14:paraId="24DE2A52" w14:textId="77777777" w:rsidR="006622DD" w:rsidRDefault="006622DD" w:rsidP="00B41C02">
      <w:pPr>
        <w:jc w:val="both"/>
        <w:rPr>
          <w:rFonts w:ascii="Tahoma" w:hAnsi="Tahoma" w:cs="Tahoma"/>
        </w:rPr>
      </w:pPr>
    </w:p>
    <w:p w14:paraId="316B5166" w14:textId="77777777" w:rsidR="006622DD" w:rsidRPr="00041E45" w:rsidRDefault="006622DD" w:rsidP="006622DD">
      <w:pPr>
        <w:jc w:val="both"/>
        <w:rPr>
          <w:rFonts w:ascii="Tahoma" w:hAnsi="Tahoma" w:cs="Tahoma"/>
          <w:sz w:val="32"/>
          <w:szCs w:val="32"/>
          <w:u w:val="single"/>
        </w:rPr>
      </w:pPr>
      <w:r w:rsidRPr="00041E45">
        <w:rPr>
          <w:rFonts w:ascii="Tahoma" w:hAnsi="Tahoma" w:cs="Tahoma"/>
          <w:sz w:val="32"/>
          <w:szCs w:val="32"/>
          <w:u w:val="single"/>
        </w:rPr>
        <w:t>Week</w:t>
      </w:r>
    </w:p>
    <w:p w14:paraId="7D1E931D" w14:textId="59E759DD" w:rsidR="006622DD" w:rsidRDefault="006622DD" w:rsidP="006622DD">
      <w:pPr>
        <w:jc w:val="both"/>
        <w:rPr>
          <w:rFonts w:ascii="Tahoma" w:hAnsi="Tahoma" w:cs="Tahoma"/>
        </w:rPr>
      </w:pPr>
      <w:r>
        <w:rPr>
          <w:noProof/>
        </w:rPr>
        <w:lastRenderedPageBreak/>
        <w:drawing>
          <wp:inline distT="0" distB="0" distL="0" distR="0" wp14:anchorId="06800F74" wp14:editId="52714BD3">
            <wp:extent cx="5760720" cy="4320540"/>
            <wp:effectExtent l="0" t="0" r="0" b="3810"/>
            <wp:docPr id="11811637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8FEB04E" w14:textId="77777777" w:rsidR="006622DD" w:rsidRDefault="006622DD" w:rsidP="006622DD">
      <w:pPr>
        <w:jc w:val="both"/>
        <w:rPr>
          <w:rFonts w:ascii="Tahoma" w:hAnsi="Tahoma" w:cs="Tahoma"/>
        </w:rPr>
      </w:pPr>
    </w:p>
    <w:p w14:paraId="7DBE620B" w14:textId="433D0D97" w:rsidR="006622DD" w:rsidRDefault="005E4735" w:rsidP="006622DD">
      <w:pPr>
        <w:jc w:val="both"/>
        <w:rPr>
          <w:rFonts w:ascii="Tahoma" w:hAnsi="Tahoma" w:cs="Tahoma"/>
        </w:rPr>
      </w:pPr>
      <w:r>
        <w:rPr>
          <w:rFonts w:ascii="Tahoma" w:hAnsi="Tahoma" w:cs="Tahoma"/>
        </w:rPr>
        <w:t xml:space="preserve">Avec plus de quatre figures en 5 jours, </w:t>
      </w:r>
      <w:r w:rsidR="0071109D">
        <w:rPr>
          <w:rFonts w:ascii="Tahoma" w:hAnsi="Tahoma" w:cs="Tahoma"/>
        </w:rPr>
        <w:t>le recul</w:t>
      </w:r>
      <w:r>
        <w:rPr>
          <w:rFonts w:ascii="Tahoma" w:hAnsi="Tahoma" w:cs="Tahoma"/>
        </w:rPr>
        <w:t xml:space="preserve"> de la semaine dernière a été la plus forte baisse hebdomadaire depuis plusieurs années.</w:t>
      </w:r>
      <w:r w:rsidR="008A1E88">
        <w:rPr>
          <w:rFonts w:ascii="Tahoma" w:hAnsi="Tahoma" w:cs="Tahoma"/>
        </w:rPr>
        <w:t xml:space="preserve"> Cette dernière a ramené les cours sous la partie basse de la dérive latérale que j’avais fixé à 128.02.</w:t>
      </w:r>
    </w:p>
    <w:p w14:paraId="418E6406" w14:textId="1D259096" w:rsidR="008A1E88" w:rsidRDefault="008A1E88" w:rsidP="00B41C02">
      <w:pPr>
        <w:jc w:val="both"/>
        <w:rPr>
          <w:rFonts w:ascii="Tahoma" w:hAnsi="Tahoma" w:cs="Tahoma"/>
        </w:rPr>
      </w:pPr>
      <w:r>
        <w:rPr>
          <w:rFonts w:ascii="Tahoma" w:hAnsi="Tahoma" w:cs="Tahoma"/>
        </w:rPr>
        <w:t>Ainsi le contexte de consolidation horizontale comprise entre 128.02 et 138.74 a pris fin depuis que les cours sont venus et se sont maintenus sous le support. Cette action des prix place</w:t>
      </w:r>
      <w:r w:rsidR="007608B2">
        <w:rPr>
          <w:rFonts w:ascii="Tahoma" w:hAnsi="Tahoma" w:cs="Tahoma"/>
        </w:rPr>
        <w:t>ra</w:t>
      </w:r>
      <w:r>
        <w:rPr>
          <w:rFonts w:ascii="Tahoma" w:hAnsi="Tahoma" w:cs="Tahoma"/>
        </w:rPr>
        <w:t xml:space="preserve"> </w:t>
      </w:r>
      <w:r w:rsidR="000409CB">
        <w:rPr>
          <w:rFonts w:ascii="Tahoma" w:hAnsi="Tahoma" w:cs="Tahoma"/>
        </w:rPr>
        <w:t>l</w:t>
      </w:r>
      <w:r>
        <w:rPr>
          <w:rFonts w:ascii="Tahoma" w:hAnsi="Tahoma" w:cs="Tahoma"/>
        </w:rPr>
        <w:t>e marché dans un environnement baissier tant que le contrat évoluera sous l’ancien support de 128.02.</w:t>
      </w:r>
    </w:p>
    <w:p w14:paraId="317DB0B3" w14:textId="1BD0607C" w:rsidR="008A1E88" w:rsidRDefault="008A1E88" w:rsidP="00B41C02">
      <w:pPr>
        <w:jc w:val="both"/>
        <w:rPr>
          <w:rFonts w:ascii="Tahoma" w:hAnsi="Tahoma" w:cs="Tahoma"/>
        </w:rPr>
      </w:pPr>
      <w:r>
        <w:rPr>
          <w:rFonts w:ascii="Tahoma" w:hAnsi="Tahoma" w:cs="Tahoma"/>
        </w:rPr>
        <w:t xml:space="preserve">La </w:t>
      </w:r>
      <w:r w:rsidR="00B22C42">
        <w:rPr>
          <w:rFonts w:ascii="Tahoma" w:hAnsi="Tahoma" w:cs="Tahoma"/>
        </w:rPr>
        <w:t xml:space="preserve">dernière </w:t>
      </w:r>
      <w:r>
        <w:rPr>
          <w:rFonts w:ascii="Tahoma" w:hAnsi="Tahoma" w:cs="Tahoma"/>
        </w:rPr>
        <w:t>chandelle de la semaine ne remet pas en question la forte pression vendeuse.</w:t>
      </w:r>
      <w:r w:rsidR="00B22C42">
        <w:rPr>
          <w:rFonts w:ascii="Tahoma" w:hAnsi="Tahoma" w:cs="Tahoma"/>
        </w:rPr>
        <w:t xml:space="preserve"> Les acheteurs sont absents, les vendeurs tiennent le marché. Avec sa mèche haute et basse, la dernière bougie montre une pause dans la baisse mais aussi une absence de conviction</w:t>
      </w:r>
      <w:r w:rsidR="004D1781">
        <w:rPr>
          <w:rFonts w:ascii="Tahoma" w:hAnsi="Tahoma" w:cs="Tahoma"/>
        </w:rPr>
        <w:t xml:space="preserve">. Sans un retour du contrat </w:t>
      </w:r>
      <w:r w:rsidR="000409CB">
        <w:rPr>
          <w:rFonts w:ascii="Tahoma" w:hAnsi="Tahoma" w:cs="Tahoma"/>
        </w:rPr>
        <w:t>au-dessus</w:t>
      </w:r>
      <w:r w:rsidR="004D1781">
        <w:rPr>
          <w:rFonts w:ascii="Tahoma" w:hAnsi="Tahoma" w:cs="Tahoma"/>
        </w:rPr>
        <w:t xml:space="preserve"> de 129.48, il sera difficile d’envisager une remise en cause de cette baisse.</w:t>
      </w:r>
    </w:p>
    <w:p w14:paraId="4F6628DC" w14:textId="77777777" w:rsidR="008A1E88" w:rsidRDefault="008A1E88" w:rsidP="00B41C02">
      <w:pPr>
        <w:jc w:val="both"/>
        <w:rPr>
          <w:rFonts w:ascii="Tahoma" w:hAnsi="Tahoma" w:cs="Tahoma"/>
        </w:rPr>
      </w:pPr>
    </w:p>
    <w:p w14:paraId="62925F83" w14:textId="3188F0E4" w:rsidR="008A1E88" w:rsidRDefault="008A1E8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54052E8" w:rsidR="00583BC8" w:rsidRDefault="006622DD" w:rsidP="00B41C02">
      <w:pPr>
        <w:jc w:val="both"/>
        <w:rPr>
          <w:rFonts w:ascii="Tahoma" w:hAnsi="Tahoma" w:cs="Tahoma"/>
        </w:rPr>
      </w:pPr>
      <w:r>
        <w:rPr>
          <w:noProof/>
        </w:rPr>
        <w:lastRenderedPageBreak/>
        <w:drawing>
          <wp:inline distT="0" distB="0" distL="0" distR="0" wp14:anchorId="3F47037F" wp14:editId="3C03A4A6">
            <wp:extent cx="5760720" cy="4320540"/>
            <wp:effectExtent l="0" t="0" r="0" b="3810"/>
            <wp:docPr id="180671356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655B4CA8" w:rsidR="00467005" w:rsidRDefault="004A2D2D" w:rsidP="00041E45">
      <w:pPr>
        <w:jc w:val="both"/>
        <w:rPr>
          <w:rFonts w:ascii="Tahoma" w:hAnsi="Tahoma" w:cs="Tahoma"/>
        </w:rPr>
      </w:pPr>
      <w:r>
        <w:rPr>
          <w:rFonts w:ascii="Tahoma" w:hAnsi="Tahoma" w:cs="Tahoma"/>
        </w:rPr>
        <w:t>S</w:t>
      </w:r>
      <w:r w:rsidR="001261E3">
        <w:rPr>
          <w:rFonts w:ascii="Tahoma" w:hAnsi="Tahoma" w:cs="Tahoma"/>
        </w:rPr>
        <w:t>ur le court terme, le contexte est baissier avec des cours et une LS qui évoluent sous leur nuage respectif.</w:t>
      </w:r>
      <w:r w:rsidR="00146E26">
        <w:rPr>
          <w:rFonts w:ascii="Tahoma" w:hAnsi="Tahoma" w:cs="Tahoma"/>
        </w:rPr>
        <w:t xml:space="preserve"> Ainsi contrairement à ce que je pensais, la ré</w:t>
      </w:r>
      <w:r w:rsidR="00BC2B80">
        <w:rPr>
          <w:rFonts w:ascii="Tahoma" w:hAnsi="Tahoma" w:cs="Tahoma"/>
        </w:rPr>
        <w:t>s</w:t>
      </w:r>
      <w:r w:rsidR="00146E26">
        <w:rPr>
          <w:rFonts w:ascii="Tahoma" w:hAnsi="Tahoma" w:cs="Tahoma"/>
        </w:rPr>
        <w:t>istance de 132.74</w:t>
      </w:r>
      <w:r w:rsidR="00BC2B80">
        <w:rPr>
          <w:rFonts w:ascii="Tahoma" w:hAnsi="Tahoma" w:cs="Tahoma"/>
        </w:rPr>
        <w:t xml:space="preserve"> sur juin 2025 (133.71 sur mars 2025) matérialisée par le plat de SSB, a eu raison des haussiers</w:t>
      </w:r>
      <w:r w:rsidR="00E55548">
        <w:rPr>
          <w:rFonts w:ascii="Tahoma" w:hAnsi="Tahoma" w:cs="Tahoma"/>
        </w:rPr>
        <w:t xml:space="preserve"> (voir aussi le contexte </w:t>
      </w:r>
      <w:r w:rsidR="009E44A3">
        <w:rPr>
          <w:rFonts w:ascii="Tahoma" w:hAnsi="Tahoma" w:cs="Tahoma"/>
        </w:rPr>
        <w:t>d’</w:t>
      </w:r>
      <w:r w:rsidR="00E55548">
        <w:rPr>
          <w:rFonts w:ascii="Tahoma" w:hAnsi="Tahoma" w:cs="Tahoma"/>
        </w:rPr>
        <w:t xml:space="preserve">économique </w:t>
      </w:r>
      <w:r w:rsidR="009E44A3">
        <w:rPr>
          <w:rFonts w:ascii="Tahoma" w:hAnsi="Tahoma" w:cs="Tahoma"/>
        </w:rPr>
        <w:t xml:space="preserve">de guerre </w:t>
      </w:r>
      <w:r w:rsidR="00E55548">
        <w:rPr>
          <w:rFonts w:ascii="Tahoma" w:hAnsi="Tahoma" w:cs="Tahoma"/>
        </w:rPr>
        <w:t xml:space="preserve">et </w:t>
      </w:r>
      <w:r w:rsidR="009E44A3">
        <w:rPr>
          <w:rFonts w:ascii="Tahoma" w:hAnsi="Tahoma" w:cs="Tahoma"/>
        </w:rPr>
        <w:t xml:space="preserve">la </w:t>
      </w:r>
      <w:r w:rsidR="000409CB">
        <w:rPr>
          <w:rFonts w:ascii="Tahoma" w:hAnsi="Tahoma" w:cs="Tahoma"/>
        </w:rPr>
        <w:t>géopolitique</w:t>
      </w:r>
      <w:r w:rsidR="00E55548">
        <w:rPr>
          <w:rFonts w:ascii="Tahoma" w:hAnsi="Tahoma" w:cs="Tahoma"/>
        </w:rPr>
        <w:t>)</w:t>
      </w:r>
      <w:r w:rsidR="000F7444">
        <w:rPr>
          <w:rFonts w:ascii="Tahoma" w:hAnsi="Tahoma" w:cs="Tahoma"/>
        </w:rPr>
        <w:t>.</w:t>
      </w:r>
    </w:p>
    <w:p w14:paraId="4A5300C7" w14:textId="4E5A409A" w:rsidR="000F7444" w:rsidRDefault="000F7444" w:rsidP="00041E45">
      <w:pPr>
        <w:jc w:val="both"/>
        <w:rPr>
          <w:rFonts w:ascii="Tahoma" w:hAnsi="Tahoma" w:cs="Tahoma"/>
        </w:rPr>
      </w:pPr>
      <w:r>
        <w:rPr>
          <w:rFonts w:ascii="Tahoma" w:hAnsi="Tahoma" w:cs="Tahoma"/>
        </w:rPr>
        <w:t xml:space="preserve">Quoi qu’il en soit, la baisse très forte et très rapide a placé le contrat dans un environnement survendu qui demande </w:t>
      </w:r>
      <w:r w:rsidR="000409CB">
        <w:rPr>
          <w:rFonts w:ascii="Tahoma" w:hAnsi="Tahoma" w:cs="Tahoma"/>
        </w:rPr>
        <w:t>à</w:t>
      </w:r>
      <w:r>
        <w:rPr>
          <w:rFonts w:ascii="Tahoma" w:hAnsi="Tahoma" w:cs="Tahoma"/>
        </w:rPr>
        <w:t xml:space="preserve"> être corrigé.</w:t>
      </w:r>
      <w:r w:rsidR="00BA32D4">
        <w:rPr>
          <w:rFonts w:ascii="Tahoma" w:hAnsi="Tahoma" w:cs="Tahoma"/>
        </w:rPr>
        <w:t xml:space="preserve"> Ce contexte limite le potentiel de baisse et plaide pour un retour des prix </w:t>
      </w:r>
      <w:r w:rsidR="00937E02">
        <w:rPr>
          <w:rFonts w:ascii="Tahoma" w:hAnsi="Tahoma" w:cs="Tahoma"/>
        </w:rPr>
        <w:t>en direction du</w:t>
      </w:r>
      <w:r w:rsidR="00BA32D4">
        <w:rPr>
          <w:rFonts w:ascii="Tahoma" w:hAnsi="Tahoma" w:cs="Tahoma"/>
        </w:rPr>
        <w:t xml:space="preserve"> plat de KS actuellement à 129.66.</w:t>
      </w:r>
    </w:p>
    <w:p w14:paraId="6215D143" w14:textId="069ED254" w:rsidR="000F7444" w:rsidRDefault="00B711DC" w:rsidP="00041E45">
      <w:pPr>
        <w:jc w:val="both"/>
        <w:rPr>
          <w:rFonts w:ascii="Tahoma" w:hAnsi="Tahoma" w:cs="Tahoma"/>
        </w:rPr>
      </w:pPr>
      <w:r>
        <w:rPr>
          <w:rFonts w:ascii="Tahoma" w:hAnsi="Tahoma" w:cs="Tahoma"/>
        </w:rPr>
        <w:t xml:space="preserve">Sur la semaine le contrat s’est stabilisé entre 126.58 et 128.32. Plusieurs </w:t>
      </w:r>
      <w:r w:rsidR="00D81AC7">
        <w:rPr>
          <w:rFonts w:ascii="Tahoma" w:hAnsi="Tahoma" w:cs="Tahoma"/>
        </w:rPr>
        <w:t>éléments</w:t>
      </w:r>
      <w:r>
        <w:rPr>
          <w:rFonts w:ascii="Tahoma" w:hAnsi="Tahoma" w:cs="Tahoma"/>
        </w:rPr>
        <w:t xml:space="preserve"> </w:t>
      </w:r>
      <w:r w:rsidR="000409CB">
        <w:rPr>
          <w:rFonts w:ascii="Tahoma" w:hAnsi="Tahoma" w:cs="Tahoma"/>
        </w:rPr>
        <w:t>plaident</w:t>
      </w:r>
      <w:r>
        <w:rPr>
          <w:rFonts w:ascii="Tahoma" w:hAnsi="Tahoma" w:cs="Tahoma"/>
        </w:rPr>
        <w:t xml:space="preserve"> pour une sortie baissière. Tout d’abord la structure directionnelle de la bougie en doji hebdomadaire</w:t>
      </w:r>
      <w:r w:rsidR="005A1C07">
        <w:rPr>
          <w:rFonts w:ascii="Tahoma" w:hAnsi="Tahoma" w:cs="Tahoma"/>
        </w:rPr>
        <w:t>.</w:t>
      </w:r>
      <w:r>
        <w:rPr>
          <w:rFonts w:ascii="Tahoma" w:hAnsi="Tahoma" w:cs="Tahoma"/>
        </w:rPr>
        <w:t xml:space="preserve"> </w:t>
      </w:r>
      <w:r w:rsidR="005A1C07">
        <w:rPr>
          <w:rFonts w:ascii="Tahoma" w:hAnsi="Tahoma" w:cs="Tahoma"/>
        </w:rPr>
        <w:t>Sa décomposition en données journalières est négative. Elle plaide pour une reprise de la baisse. Ensuite, les deux longues bougies journalières de la semaine dernière et la stabilisation des cours par la suite, me font penser à une formation en drapeau inversée qui se classe dans les figures de poursuite de mouvement.</w:t>
      </w:r>
    </w:p>
    <w:p w14:paraId="10BB9766" w14:textId="77777777" w:rsidR="00723F77" w:rsidRDefault="00723F77" w:rsidP="00041E45">
      <w:pPr>
        <w:jc w:val="both"/>
        <w:rPr>
          <w:rFonts w:ascii="Tahoma" w:hAnsi="Tahoma" w:cs="Tahoma"/>
        </w:rPr>
      </w:pPr>
    </w:p>
    <w:p w14:paraId="6E428007" w14:textId="64F560A6"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37560A">
        <w:rPr>
          <w:rFonts w:ascii="Tahoma" w:hAnsi="Tahoma" w:cs="Tahoma"/>
        </w:rPr>
        <w:t xml:space="preserve"> la cassure de 128.02 a sorti le march</w:t>
      </w:r>
      <w:r w:rsidR="000409CB">
        <w:rPr>
          <w:rFonts w:ascii="Tahoma" w:hAnsi="Tahoma" w:cs="Tahoma"/>
        </w:rPr>
        <w:t>é</w:t>
      </w:r>
      <w:r w:rsidR="0037560A">
        <w:rPr>
          <w:rFonts w:ascii="Tahoma" w:hAnsi="Tahoma" w:cs="Tahoma"/>
        </w:rPr>
        <w:t xml:space="preserve"> de sa zone de consolidation</w:t>
      </w:r>
      <w:r w:rsidR="00CC6DFE">
        <w:rPr>
          <w:rFonts w:ascii="Tahoma" w:hAnsi="Tahoma" w:cs="Tahoma"/>
        </w:rPr>
        <w:t xml:space="preserve"> </w:t>
      </w:r>
      <w:r w:rsidR="00BA75BC">
        <w:rPr>
          <w:rFonts w:ascii="Tahoma" w:hAnsi="Tahoma" w:cs="Tahoma"/>
        </w:rPr>
        <w:t xml:space="preserve">de moyen terme </w:t>
      </w:r>
      <w:r w:rsidR="00CC6DFE">
        <w:rPr>
          <w:rFonts w:ascii="Tahoma" w:hAnsi="Tahoma" w:cs="Tahoma"/>
        </w:rPr>
        <w:t>pour le placer dans un environnement de reprise de la baisse.</w:t>
      </w:r>
      <w:r w:rsidR="00AC21FA">
        <w:rPr>
          <w:rFonts w:ascii="Tahoma" w:hAnsi="Tahoma" w:cs="Tahoma"/>
        </w:rPr>
        <w:t xml:space="preserve"> Le contexte survendu peut amener les vendeurs à réaliser une partie de leurs gains mais </w:t>
      </w:r>
      <w:r w:rsidR="00684FA1">
        <w:rPr>
          <w:rFonts w:ascii="Tahoma" w:hAnsi="Tahoma" w:cs="Tahoma"/>
        </w:rPr>
        <w:t>c</w:t>
      </w:r>
      <w:r w:rsidR="00AC21FA">
        <w:rPr>
          <w:rFonts w:ascii="Tahoma" w:hAnsi="Tahoma" w:cs="Tahoma"/>
        </w:rPr>
        <w:t xml:space="preserve">es </w:t>
      </w:r>
      <w:r w:rsidR="00684FA1">
        <w:rPr>
          <w:rFonts w:ascii="Tahoma" w:hAnsi="Tahoma" w:cs="Tahoma"/>
        </w:rPr>
        <w:t>derniers</w:t>
      </w:r>
      <w:r w:rsidR="00AC21FA">
        <w:rPr>
          <w:rFonts w:ascii="Tahoma" w:hAnsi="Tahoma" w:cs="Tahoma"/>
        </w:rPr>
        <w:t xml:space="preserve"> domineront les échanges tant que le marché ne sera pas revenu </w:t>
      </w:r>
      <w:r w:rsidR="000409CB">
        <w:rPr>
          <w:rFonts w:ascii="Tahoma" w:hAnsi="Tahoma" w:cs="Tahoma"/>
        </w:rPr>
        <w:t>au-dessus</w:t>
      </w:r>
      <w:r w:rsidR="00AC21FA">
        <w:rPr>
          <w:rFonts w:ascii="Tahoma" w:hAnsi="Tahoma" w:cs="Tahoma"/>
        </w:rPr>
        <w:t xml:space="preserve"> de 129.48.</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49F09C76"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w:t>
      </w:r>
      <w:r w:rsidR="000409CB" w:rsidRPr="00723F77">
        <w:rPr>
          <w:rFonts w:ascii="Arial" w:eastAsia="Calibri" w:hAnsi="Arial" w:cs="Arial"/>
          <w:b/>
          <w:i/>
          <w:sz w:val="24"/>
          <w:szCs w:val="24"/>
          <w:lang w:eastAsia="fr-FR"/>
        </w:rPr>
        <w:t>périodes</w:t>
      </w:r>
      <w:r w:rsidRPr="00723F77">
        <w:rPr>
          <w:rFonts w:ascii="Arial" w:eastAsia="Calibri" w:hAnsi="Arial" w:cs="Arial"/>
          <w:b/>
          <w:i/>
          <w:sz w:val="24"/>
          <w:szCs w:val="24"/>
          <w:lang w:eastAsia="fr-FR"/>
        </w:rPr>
        <w:t xml:space="preserve">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21D8"/>
    <w:rsid w:val="0002580A"/>
    <w:rsid w:val="000409CB"/>
    <w:rsid w:val="00041E45"/>
    <w:rsid w:val="000524C5"/>
    <w:rsid w:val="000556C3"/>
    <w:rsid w:val="00063C65"/>
    <w:rsid w:val="000833FB"/>
    <w:rsid w:val="00092058"/>
    <w:rsid w:val="000938CC"/>
    <w:rsid w:val="000B221E"/>
    <w:rsid w:val="000B7DFC"/>
    <w:rsid w:val="000C0DE4"/>
    <w:rsid w:val="000D4ED3"/>
    <w:rsid w:val="000F7444"/>
    <w:rsid w:val="001018AD"/>
    <w:rsid w:val="00103ED4"/>
    <w:rsid w:val="00105B4E"/>
    <w:rsid w:val="001261E3"/>
    <w:rsid w:val="00134AFA"/>
    <w:rsid w:val="00135766"/>
    <w:rsid w:val="0014687D"/>
    <w:rsid w:val="00146E26"/>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C3DBD"/>
    <w:rsid w:val="002F54B0"/>
    <w:rsid w:val="00303214"/>
    <w:rsid w:val="0030643B"/>
    <w:rsid w:val="00337611"/>
    <w:rsid w:val="00340FD9"/>
    <w:rsid w:val="00352DD9"/>
    <w:rsid w:val="0037560A"/>
    <w:rsid w:val="003767E0"/>
    <w:rsid w:val="00397D3D"/>
    <w:rsid w:val="0040171B"/>
    <w:rsid w:val="00467005"/>
    <w:rsid w:val="004A2D2D"/>
    <w:rsid w:val="004A5154"/>
    <w:rsid w:val="004D1781"/>
    <w:rsid w:val="004E5FBC"/>
    <w:rsid w:val="004F48EE"/>
    <w:rsid w:val="00531928"/>
    <w:rsid w:val="00534F8E"/>
    <w:rsid w:val="005440A4"/>
    <w:rsid w:val="00546A5A"/>
    <w:rsid w:val="00566580"/>
    <w:rsid w:val="00567AF3"/>
    <w:rsid w:val="00583BC8"/>
    <w:rsid w:val="005A1C07"/>
    <w:rsid w:val="005E4735"/>
    <w:rsid w:val="00602AA9"/>
    <w:rsid w:val="00654380"/>
    <w:rsid w:val="006622DD"/>
    <w:rsid w:val="00664BE1"/>
    <w:rsid w:val="00684FA1"/>
    <w:rsid w:val="006B055C"/>
    <w:rsid w:val="006E32BB"/>
    <w:rsid w:val="006E38E0"/>
    <w:rsid w:val="00710599"/>
    <w:rsid w:val="0071109D"/>
    <w:rsid w:val="00723F77"/>
    <w:rsid w:val="00744696"/>
    <w:rsid w:val="007608B2"/>
    <w:rsid w:val="00772067"/>
    <w:rsid w:val="0077545D"/>
    <w:rsid w:val="007A0A4B"/>
    <w:rsid w:val="007A0E6C"/>
    <w:rsid w:val="007B1237"/>
    <w:rsid w:val="007B661D"/>
    <w:rsid w:val="007D19FF"/>
    <w:rsid w:val="007D2085"/>
    <w:rsid w:val="007D4181"/>
    <w:rsid w:val="0083454A"/>
    <w:rsid w:val="00837B38"/>
    <w:rsid w:val="00896554"/>
    <w:rsid w:val="008A1E88"/>
    <w:rsid w:val="008A7407"/>
    <w:rsid w:val="008F10C2"/>
    <w:rsid w:val="00902D2F"/>
    <w:rsid w:val="00937E02"/>
    <w:rsid w:val="00961FDF"/>
    <w:rsid w:val="00983B7D"/>
    <w:rsid w:val="009A37C2"/>
    <w:rsid w:val="009E44A3"/>
    <w:rsid w:val="009F3AB8"/>
    <w:rsid w:val="00A029F9"/>
    <w:rsid w:val="00A11606"/>
    <w:rsid w:val="00A6401C"/>
    <w:rsid w:val="00A81AB7"/>
    <w:rsid w:val="00AA522C"/>
    <w:rsid w:val="00AC21FA"/>
    <w:rsid w:val="00AE7F3B"/>
    <w:rsid w:val="00B22C42"/>
    <w:rsid w:val="00B34260"/>
    <w:rsid w:val="00B41C02"/>
    <w:rsid w:val="00B4335A"/>
    <w:rsid w:val="00B50E38"/>
    <w:rsid w:val="00B554B8"/>
    <w:rsid w:val="00B64EE0"/>
    <w:rsid w:val="00B711DC"/>
    <w:rsid w:val="00B94D71"/>
    <w:rsid w:val="00BA32D4"/>
    <w:rsid w:val="00BA75BC"/>
    <w:rsid w:val="00BB0E32"/>
    <w:rsid w:val="00BB6D9D"/>
    <w:rsid w:val="00BC2B80"/>
    <w:rsid w:val="00BC77A5"/>
    <w:rsid w:val="00BD3FC1"/>
    <w:rsid w:val="00C17ED7"/>
    <w:rsid w:val="00C41F15"/>
    <w:rsid w:val="00C70171"/>
    <w:rsid w:val="00C70A68"/>
    <w:rsid w:val="00C82E98"/>
    <w:rsid w:val="00CB17C9"/>
    <w:rsid w:val="00CC6DFE"/>
    <w:rsid w:val="00CC72FF"/>
    <w:rsid w:val="00CC7C21"/>
    <w:rsid w:val="00CE0886"/>
    <w:rsid w:val="00CF2516"/>
    <w:rsid w:val="00CF6D63"/>
    <w:rsid w:val="00D23B28"/>
    <w:rsid w:val="00D46C8D"/>
    <w:rsid w:val="00D81AC7"/>
    <w:rsid w:val="00DA1359"/>
    <w:rsid w:val="00DE5444"/>
    <w:rsid w:val="00DF072F"/>
    <w:rsid w:val="00E32014"/>
    <w:rsid w:val="00E3727C"/>
    <w:rsid w:val="00E55548"/>
    <w:rsid w:val="00EB58BA"/>
    <w:rsid w:val="00EE6B93"/>
    <w:rsid w:val="00F04A6E"/>
    <w:rsid w:val="00F04DEF"/>
    <w:rsid w:val="00F31070"/>
    <w:rsid w:val="00F53F10"/>
    <w:rsid w:val="00F636F8"/>
    <w:rsid w:val="00FA2C8E"/>
    <w:rsid w:val="00FC135F"/>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4</Pages>
  <Words>593</Words>
  <Characters>3262</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126</cp:revision>
  <dcterms:created xsi:type="dcterms:W3CDTF">2021-11-25T09:44:00Z</dcterms:created>
  <dcterms:modified xsi:type="dcterms:W3CDTF">2025-03-16T16:29:00Z</dcterms:modified>
</cp:coreProperties>
</file>