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4B6E681" w:rsidR="00902D2F" w:rsidRDefault="000042E1" w:rsidP="00B41C02">
      <w:pPr>
        <w:jc w:val="both"/>
        <w:rPr>
          <w:rFonts w:ascii="Tahoma" w:hAnsi="Tahoma" w:cs="Tahoma"/>
        </w:rPr>
      </w:pPr>
      <w:r>
        <w:rPr>
          <w:noProof/>
        </w:rPr>
        <w:drawing>
          <wp:inline distT="0" distB="0" distL="0" distR="0" wp14:anchorId="6A759290" wp14:editId="67396608">
            <wp:extent cx="5760720" cy="3810000"/>
            <wp:effectExtent l="0" t="0" r="0" b="0"/>
            <wp:docPr id="3417758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810000"/>
                    </a:xfrm>
                    <a:prstGeom prst="rect">
                      <a:avLst/>
                    </a:prstGeom>
                    <a:noFill/>
                    <a:ln>
                      <a:noFill/>
                    </a:ln>
                  </pic:spPr>
                </pic:pic>
              </a:graphicData>
            </a:graphic>
          </wp:inline>
        </w:drawing>
      </w:r>
    </w:p>
    <w:p w14:paraId="6F8CEEF2" w14:textId="04B3D3C0" w:rsidR="004036DA" w:rsidRDefault="00041E45" w:rsidP="00B41C02">
      <w:pPr>
        <w:jc w:val="both"/>
        <w:rPr>
          <w:rFonts w:ascii="Tahoma" w:hAnsi="Tahoma" w:cs="Tahoma"/>
        </w:rPr>
      </w:pPr>
      <w:r>
        <w:rPr>
          <w:rFonts w:ascii="Tahoma" w:hAnsi="Tahoma" w:cs="Tahoma"/>
        </w:rPr>
        <w:t>L</w:t>
      </w:r>
      <w:r w:rsidR="002E4213">
        <w:rPr>
          <w:rFonts w:ascii="Tahoma" w:hAnsi="Tahoma" w:cs="Tahoma"/>
        </w:rPr>
        <w:t>es nombreux twists du nuage, le premier</w:t>
      </w:r>
      <w:r w:rsidR="00FB2165">
        <w:rPr>
          <w:rFonts w:ascii="Tahoma" w:hAnsi="Tahoma" w:cs="Tahoma"/>
        </w:rPr>
        <w:t xml:space="preserve"> en</w:t>
      </w:r>
      <w:r w:rsidR="002E4213">
        <w:rPr>
          <w:rFonts w:ascii="Tahoma" w:hAnsi="Tahoma" w:cs="Tahoma"/>
        </w:rPr>
        <w:t xml:space="preserve"> date de juin 2024, m’a amené </w:t>
      </w:r>
      <w:r w:rsidR="00FB2165">
        <w:rPr>
          <w:rFonts w:ascii="Tahoma" w:hAnsi="Tahoma" w:cs="Tahoma"/>
        </w:rPr>
        <w:t>il y a quelques temps, à</w:t>
      </w:r>
      <w:r w:rsidR="002E4213">
        <w:rPr>
          <w:rFonts w:ascii="Tahoma" w:hAnsi="Tahoma" w:cs="Tahoma"/>
        </w:rPr>
        <w:t xml:space="preserve"> place</w:t>
      </w:r>
      <w:r w:rsidR="00FB2165">
        <w:rPr>
          <w:rFonts w:ascii="Tahoma" w:hAnsi="Tahoma" w:cs="Tahoma"/>
        </w:rPr>
        <w:t>r</w:t>
      </w:r>
      <w:r w:rsidR="002E4213">
        <w:rPr>
          <w:rFonts w:ascii="Tahoma" w:hAnsi="Tahoma" w:cs="Tahoma"/>
        </w:rPr>
        <w:t xml:space="preserve"> le marché dans une large dérive latérale</w:t>
      </w:r>
      <w:r w:rsidR="00FB2165">
        <w:rPr>
          <w:rFonts w:ascii="Tahoma" w:hAnsi="Tahoma" w:cs="Tahoma"/>
        </w:rPr>
        <w:t xml:space="preserve"> </w:t>
      </w:r>
      <w:r w:rsidR="002E4213">
        <w:rPr>
          <w:rFonts w:ascii="Tahoma" w:hAnsi="Tahoma" w:cs="Tahoma"/>
        </w:rPr>
        <w:t xml:space="preserve">comprise entre </w:t>
      </w:r>
      <w:r w:rsidR="00B86E65">
        <w:rPr>
          <w:rFonts w:ascii="Tahoma" w:hAnsi="Tahoma" w:cs="Tahoma"/>
        </w:rPr>
        <w:t xml:space="preserve">139.05 et 128.44 (tracé en rouge sur le graphique). La sortie récente du marché en cassure du support de 128.44 a replacé le </w:t>
      </w:r>
      <w:r w:rsidR="005C5602">
        <w:rPr>
          <w:rFonts w:ascii="Tahoma" w:hAnsi="Tahoma" w:cs="Tahoma"/>
        </w:rPr>
        <w:t>contrat</w:t>
      </w:r>
      <w:r w:rsidR="00B86E65">
        <w:rPr>
          <w:rFonts w:ascii="Tahoma" w:hAnsi="Tahoma" w:cs="Tahoma"/>
        </w:rPr>
        <w:t xml:space="preserve"> dans un environnement favorable à la baisse </w:t>
      </w:r>
      <w:r w:rsidR="004036DA">
        <w:rPr>
          <w:rFonts w:ascii="Tahoma" w:hAnsi="Tahoma" w:cs="Tahoma"/>
        </w:rPr>
        <w:t>sur un horizon de moyen terme.</w:t>
      </w:r>
    </w:p>
    <w:p w14:paraId="7AC4D2D2" w14:textId="05DB0311" w:rsidR="00DF072F" w:rsidRDefault="004036DA" w:rsidP="00B41C02">
      <w:pPr>
        <w:jc w:val="both"/>
        <w:rPr>
          <w:rFonts w:ascii="Tahoma" w:hAnsi="Tahoma" w:cs="Tahoma"/>
        </w:rPr>
      </w:pPr>
      <w:r>
        <w:rPr>
          <w:rFonts w:ascii="Tahoma" w:hAnsi="Tahoma" w:cs="Tahoma"/>
        </w:rPr>
        <w:t xml:space="preserve">Une des conditions pour valider cette rupture est un </w:t>
      </w:r>
      <w:r w:rsidR="00946C19">
        <w:rPr>
          <w:rFonts w:ascii="Tahoma" w:hAnsi="Tahoma" w:cs="Tahoma"/>
        </w:rPr>
        <w:t>maintien des cours sous le support de 128.44 qui dans une logique d’inversion des polarités devrait servir de résistance.</w:t>
      </w:r>
      <w:r w:rsidR="00B86E65">
        <w:rPr>
          <w:rFonts w:ascii="Tahoma" w:hAnsi="Tahoma" w:cs="Tahoma"/>
        </w:rPr>
        <w:t xml:space="preserve"> </w:t>
      </w:r>
    </w:p>
    <w:p w14:paraId="61B4CEFD" w14:textId="2A8DA789" w:rsidR="007506A9" w:rsidRDefault="007506A9" w:rsidP="00B41C02">
      <w:pPr>
        <w:jc w:val="both"/>
        <w:rPr>
          <w:rFonts w:ascii="Tahoma" w:hAnsi="Tahoma" w:cs="Tahoma"/>
        </w:rPr>
      </w:pPr>
      <w:r>
        <w:rPr>
          <w:rFonts w:ascii="Tahoma" w:hAnsi="Tahoma" w:cs="Tahoma"/>
        </w:rPr>
        <w:t xml:space="preserve">La </w:t>
      </w:r>
      <w:r w:rsidR="005C5602">
        <w:rPr>
          <w:rFonts w:ascii="Tahoma" w:hAnsi="Tahoma" w:cs="Tahoma"/>
        </w:rPr>
        <w:t>clôture</w:t>
      </w:r>
      <w:r>
        <w:rPr>
          <w:rFonts w:ascii="Tahoma" w:hAnsi="Tahoma" w:cs="Tahoma"/>
        </w:rPr>
        <w:t xml:space="preserve"> hebdomadaire </w:t>
      </w:r>
      <w:r w:rsidR="00FB2165">
        <w:rPr>
          <w:rFonts w:ascii="Tahoma" w:hAnsi="Tahoma" w:cs="Tahoma"/>
        </w:rPr>
        <w:t>sur</w:t>
      </w:r>
      <w:r>
        <w:rPr>
          <w:rFonts w:ascii="Tahoma" w:hAnsi="Tahoma" w:cs="Tahoma"/>
        </w:rPr>
        <w:t xml:space="preserve"> 128.84 pourrait remettre en question le contexte favorable à une poursuite de la baisse. </w:t>
      </w:r>
    </w:p>
    <w:p w14:paraId="6B78CE05" w14:textId="481A5999" w:rsidR="007506A9" w:rsidRDefault="007506A9" w:rsidP="00B41C02">
      <w:pPr>
        <w:jc w:val="both"/>
        <w:rPr>
          <w:rFonts w:ascii="Tahoma" w:hAnsi="Tahoma" w:cs="Tahoma"/>
        </w:rPr>
      </w:pPr>
      <w:r>
        <w:rPr>
          <w:rFonts w:ascii="Tahoma" w:hAnsi="Tahoma" w:cs="Tahoma"/>
        </w:rPr>
        <w:t xml:space="preserve">Mais face à la longue chandelle noire de la semaine du 03 mars (T-4), je resterai prudent quant à la remise en cause </w:t>
      </w:r>
      <w:r w:rsidR="00DE336F">
        <w:rPr>
          <w:rFonts w:ascii="Tahoma" w:hAnsi="Tahoma" w:cs="Tahoma"/>
        </w:rPr>
        <w:t>du contexte qui avantage la baisse depuis la cassure de 128.44</w:t>
      </w:r>
      <w:r>
        <w:rPr>
          <w:rFonts w:ascii="Tahoma" w:hAnsi="Tahoma" w:cs="Tahoma"/>
        </w:rPr>
        <w:t>.</w:t>
      </w:r>
    </w:p>
    <w:p w14:paraId="26CC09B0" w14:textId="2EF11765" w:rsidR="001E2B4A" w:rsidRDefault="00DE336F" w:rsidP="00B41C02">
      <w:pPr>
        <w:jc w:val="both"/>
        <w:rPr>
          <w:rFonts w:ascii="Tahoma" w:hAnsi="Tahoma" w:cs="Tahoma"/>
        </w:rPr>
      </w:pPr>
      <w:r>
        <w:rPr>
          <w:rFonts w:ascii="Tahoma" w:hAnsi="Tahoma" w:cs="Tahoma"/>
        </w:rPr>
        <w:t>Les plats visibles aussi bien sur la TS que sur la KS montre</w:t>
      </w:r>
      <w:r w:rsidR="00FB2165">
        <w:rPr>
          <w:rFonts w:ascii="Tahoma" w:hAnsi="Tahoma" w:cs="Tahoma"/>
        </w:rPr>
        <w:t>nt</w:t>
      </w:r>
      <w:r>
        <w:rPr>
          <w:rFonts w:ascii="Tahoma" w:hAnsi="Tahoma" w:cs="Tahoma"/>
        </w:rPr>
        <w:t xml:space="preserve"> que le marché n’a plus de dynamisme. L’influence négative du marubozu noir de la semaine du 03 mars continue de peser sur le marché et même si les hausses s’enchainent depuis deux semaines, elles </w:t>
      </w:r>
      <w:r w:rsidR="001E2B4A">
        <w:rPr>
          <w:rFonts w:ascii="Tahoma" w:hAnsi="Tahoma" w:cs="Tahoma"/>
        </w:rPr>
        <w:t>manquent de</w:t>
      </w:r>
      <w:r w:rsidR="00FB2165">
        <w:rPr>
          <w:rFonts w:ascii="Tahoma" w:hAnsi="Tahoma" w:cs="Tahoma"/>
        </w:rPr>
        <w:t xml:space="preserve"> force relative et de</w:t>
      </w:r>
      <w:r w:rsidR="001E2B4A">
        <w:rPr>
          <w:rFonts w:ascii="Tahoma" w:hAnsi="Tahoma" w:cs="Tahoma"/>
        </w:rPr>
        <w:t xml:space="preserve"> conviction. </w:t>
      </w:r>
    </w:p>
    <w:p w14:paraId="374D1F17" w14:textId="389F7B6C" w:rsidR="00583BC8" w:rsidRDefault="001E2B4A" w:rsidP="00B41C02">
      <w:pPr>
        <w:jc w:val="both"/>
        <w:rPr>
          <w:rFonts w:ascii="Tahoma" w:hAnsi="Tahoma" w:cs="Tahoma"/>
        </w:rPr>
      </w:pPr>
      <w:r>
        <w:rPr>
          <w:rFonts w:ascii="Tahoma" w:hAnsi="Tahoma" w:cs="Tahoma"/>
        </w:rPr>
        <w:t xml:space="preserve">Dans ce contexte, pour envisager la </w:t>
      </w:r>
      <w:r w:rsidR="005C5602">
        <w:rPr>
          <w:rFonts w:ascii="Tahoma" w:hAnsi="Tahoma" w:cs="Tahoma"/>
        </w:rPr>
        <w:t>clôture</w:t>
      </w:r>
      <w:r>
        <w:rPr>
          <w:rFonts w:ascii="Tahoma" w:hAnsi="Tahoma" w:cs="Tahoma"/>
        </w:rPr>
        <w:t xml:space="preserve"> de positions shorts et le retour d’acheteurs à la recherche d’opportunités, le contrat devra dans un premier temps se maintenir </w:t>
      </w:r>
      <w:r w:rsidR="005C5602">
        <w:rPr>
          <w:rFonts w:ascii="Tahoma" w:hAnsi="Tahoma" w:cs="Tahoma"/>
        </w:rPr>
        <w:t>au-dessus</w:t>
      </w:r>
      <w:r>
        <w:rPr>
          <w:rFonts w:ascii="Tahoma" w:hAnsi="Tahoma" w:cs="Tahoma"/>
        </w:rPr>
        <w:t xml:space="preserve"> de 128.44 et surtout poursuivre son rebond </w:t>
      </w:r>
      <w:r w:rsidR="005C5602">
        <w:rPr>
          <w:rFonts w:ascii="Tahoma" w:hAnsi="Tahoma" w:cs="Tahoma"/>
        </w:rPr>
        <w:t>au-delà</w:t>
      </w:r>
      <w:r>
        <w:rPr>
          <w:rFonts w:ascii="Tahoma" w:hAnsi="Tahoma" w:cs="Tahoma"/>
        </w:rPr>
        <w:t xml:space="preserve"> de </w:t>
      </w:r>
      <w:r w:rsidR="009120E1">
        <w:rPr>
          <w:rFonts w:ascii="Tahoma" w:hAnsi="Tahoma" w:cs="Tahoma"/>
        </w:rPr>
        <w:t>129.55.</w:t>
      </w:r>
      <w:r>
        <w:rPr>
          <w:rFonts w:ascii="Tahoma" w:hAnsi="Tahoma" w:cs="Tahoma"/>
        </w:rPr>
        <w:t xml:space="preserve">  </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76B23F1B" w:rsidR="00583BC8" w:rsidRDefault="000042E1" w:rsidP="00B41C02">
      <w:pPr>
        <w:jc w:val="both"/>
        <w:rPr>
          <w:rFonts w:ascii="Tahoma" w:hAnsi="Tahoma" w:cs="Tahoma"/>
        </w:rPr>
      </w:pPr>
      <w:r>
        <w:rPr>
          <w:noProof/>
        </w:rPr>
        <w:drawing>
          <wp:inline distT="0" distB="0" distL="0" distR="0" wp14:anchorId="775E2D69" wp14:editId="7A635BDA">
            <wp:extent cx="5760720" cy="3947160"/>
            <wp:effectExtent l="0" t="0" r="0" b="0"/>
            <wp:docPr id="140174858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947160"/>
                    </a:xfrm>
                    <a:prstGeom prst="rect">
                      <a:avLst/>
                    </a:prstGeom>
                    <a:noFill/>
                    <a:ln>
                      <a:noFill/>
                    </a:ln>
                  </pic:spPr>
                </pic:pic>
              </a:graphicData>
            </a:graphic>
          </wp:inline>
        </w:drawing>
      </w:r>
    </w:p>
    <w:p w14:paraId="67B8B186" w14:textId="39FBB977" w:rsidR="00467005" w:rsidRDefault="009B6639" w:rsidP="00041E45">
      <w:pPr>
        <w:jc w:val="both"/>
        <w:rPr>
          <w:rFonts w:ascii="Tahoma" w:hAnsi="Tahoma" w:cs="Tahoma"/>
        </w:rPr>
      </w:pPr>
      <w:r>
        <w:rPr>
          <w:rFonts w:ascii="Tahoma" w:hAnsi="Tahoma" w:cs="Tahoma"/>
        </w:rPr>
        <w:t xml:space="preserve">Sur le court terme, on constate que ce n’est que la dernière séance de la semaine qui a permis au contrat Bund un retour </w:t>
      </w:r>
      <w:r w:rsidR="005C5602">
        <w:rPr>
          <w:rFonts w:ascii="Tahoma" w:hAnsi="Tahoma" w:cs="Tahoma"/>
        </w:rPr>
        <w:t>au-dessus</w:t>
      </w:r>
      <w:r>
        <w:rPr>
          <w:rFonts w:ascii="Tahoma" w:hAnsi="Tahoma" w:cs="Tahoma"/>
        </w:rPr>
        <w:t xml:space="preserve"> de l’ancien support de 128.44.</w:t>
      </w:r>
    </w:p>
    <w:p w14:paraId="791CC97E" w14:textId="281313E3" w:rsidR="009B6639" w:rsidRDefault="009B6639" w:rsidP="00041E45">
      <w:pPr>
        <w:jc w:val="both"/>
        <w:rPr>
          <w:rFonts w:ascii="Tahoma" w:hAnsi="Tahoma" w:cs="Tahoma"/>
        </w:rPr>
      </w:pPr>
      <w:r>
        <w:rPr>
          <w:rFonts w:ascii="Tahoma" w:hAnsi="Tahoma" w:cs="Tahoma"/>
        </w:rPr>
        <w:t>Cela renforce l’idée que ce rebond est fragile face au</w:t>
      </w:r>
      <w:r w:rsidR="00DA2C45">
        <w:rPr>
          <w:rFonts w:ascii="Tahoma" w:hAnsi="Tahoma" w:cs="Tahoma"/>
        </w:rPr>
        <w:t>x longues chandelles noires du début du mois de mars (hausse sur environ trois semaines pour rattraper une baisse qui s’est produite sur une journée)</w:t>
      </w:r>
      <w:r w:rsidR="007C1F29">
        <w:rPr>
          <w:rFonts w:ascii="Tahoma" w:hAnsi="Tahoma" w:cs="Tahoma"/>
        </w:rPr>
        <w:t>.</w:t>
      </w:r>
    </w:p>
    <w:p w14:paraId="3394375D" w14:textId="1809CDE2" w:rsidR="0049330C" w:rsidRDefault="007C1F29" w:rsidP="00041E45">
      <w:pPr>
        <w:jc w:val="both"/>
        <w:rPr>
          <w:rFonts w:ascii="Tahoma" w:hAnsi="Tahoma" w:cs="Tahoma"/>
        </w:rPr>
      </w:pPr>
      <w:r>
        <w:rPr>
          <w:rFonts w:ascii="Tahoma" w:hAnsi="Tahoma" w:cs="Tahoma"/>
        </w:rPr>
        <w:t xml:space="preserve">Quoi qu’il en soit, un maintien </w:t>
      </w:r>
      <w:r w:rsidR="005C5602">
        <w:rPr>
          <w:rFonts w:ascii="Tahoma" w:hAnsi="Tahoma" w:cs="Tahoma"/>
        </w:rPr>
        <w:t>au-dessus</w:t>
      </w:r>
      <w:r>
        <w:rPr>
          <w:rFonts w:ascii="Tahoma" w:hAnsi="Tahoma" w:cs="Tahoma"/>
        </w:rPr>
        <w:t xml:space="preserve"> de 128.44 sera </w:t>
      </w:r>
      <w:r w:rsidR="005C5602">
        <w:rPr>
          <w:rFonts w:ascii="Tahoma" w:hAnsi="Tahoma" w:cs="Tahoma"/>
        </w:rPr>
        <w:t>nécessaire</w:t>
      </w:r>
      <w:r>
        <w:rPr>
          <w:rFonts w:ascii="Tahoma" w:hAnsi="Tahoma" w:cs="Tahoma"/>
        </w:rPr>
        <w:t xml:space="preserve"> pour envisager une poursuite de la hausse. Mais les prix vont rencontrer un obstacle </w:t>
      </w:r>
      <w:r w:rsidR="005C5602">
        <w:rPr>
          <w:rFonts w:ascii="Tahoma" w:hAnsi="Tahoma" w:cs="Tahoma"/>
        </w:rPr>
        <w:t>sérieux</w:t>
      </w:r>
      <w:r>
        <w:rPr>
          <w:rFonts w:ascii="Tahoma" w:hAnsi="Tahoma" w:cs="Tahoma"/>
        </w:rPr>
        <w:t xml:space="preserve"> à l’arrivée dans la zone comprise entre 129.55 et 129.67. Cette </w:t>
      </w:r>
      <w:r w:rsidR="00B8383C">
        <w:rPr>
          <w:rFonts w:ascii="Tahoma" w:hAnsi="Tahoma" w:cs="Tahoma"/>
        </w:rPr>
        <w:t>zone est matérialisée par un plat de KS ainsi qu’un plat de SSB future.</w:t>
      </w:r>
      <w:r w:rsidR="0049330C">
        <w:rPr>
          <w:rFonts w:ascii="Tahoma" w:hAnsi="Tahoma" w:cs="Tahoma"/>
        </w:rPr>
        <w:t xml:space="preserve"> </w:t>
      </w:r>
      <w:r w:rsidR="00FB2165">
        <w:rPr>
          <w:rFonts w:ascii="Tahoma" w:hAnsi="Tahoma" w:cs="Tahoma"/>
        </w:rPr>
        <w:t>Dans ce contexte, l</w:t>
      </w:r>
      <w:r w:rsidR="0049330C">
        <w:rPr>
          <w:rFonts w:ascii="Tahoma" w:hAnsi="Tahoma" w:cs="Tahoma"/>
        </w:rPr>
        <w:t>’absence de conviction visible à travers la taille des chandeliers et l’arrivée de l’indicateur technique en zone de sur achat, laisse</w:t>
      </w:r>
      <w:r w:rsidR="00FB2165">
        <w:rPr>
          <w:rFonts w:ascii="Tahoma" w:hAnsi="Tahoma" w:cs="Tahoma"/>
        </w:rPr>
        <w:t>nt</w:t>
      </w:r>
      <w:r w:rsidR="0049330C">
        <w:rPr>
          <w:rFonts w:ascii="Tahoma" w:hAnsi="Tahoma" w:cs="Tahoma"/>
        </w:rPr>
        <w:t xml:space="preserve"> </w:t>
      </w:r>
      <w:r w:rsidR="005C5602">
        <w:rPr>
          <w:rFonts w:ascii="Tahoma" w:hAnsi="Tahoma" w:cs="Tahoma"/>
        </w:rPr>
        <w:t>peu</w:t>
      </w:r>
      <w:r w:rsidR="0049330C">
        <w:rPr>
          <w:rFonts w:ascii="Tahoma" w:hAnsi="Tahoma" w:cs="Tahoma"/>
        </w:rPr>
        <w:t xml:space="preserve"> de place à un dépassement et à une poursuite de la hausse.</w:t>
      </w:r>
    </w:p>
    <w:p w14:paraId="10BB9766" w14:textId="77777777" w:rsidR="00723F77" w:rsidRDefault="00723F77" w:rsidP="00041E45">
      <w:pPr>
        <w:jc w:val="both"/>
        <w:rPr>
          <w:rFonts w:ascii="Tahoma" w:hAnsi="Tahoma" w:cs="Tahoma"/>
        </w:rPr>
      </w:pPr>
    </w:p>
    <w:p w14:paraId="258EB8FF" w14:textId="53C7BFA0"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9330C">
        <w:rPr>
          <w:rFonts w:ascii="Tahoma" w:hAnsi="Tahoma" w:cs="Tahoma"/>
        </w:rPr>
        <w:t xml:space="preserve"> Manque de dynamisme qui limite le potentiel haussier. Dans ce contexte marqué par l’absence de conviction, </w:t>
      </w:r>
      <w:r w:rsidR="006D5B82">
        <w:rPr>
          <w:rFonts w:ascii="Tahoma" w:hAnsi="Tahoma" w:cs="Tahoma"/>
        </w:rPr>
        <w:t xml:space="preserve">le potentiel de hausse se limitera à </w:t>
      </w:r>
      <w:r w:rsidR="0049330C">
        <w:rPr>
          <w:rFonts w:ascii="Tahoma" w:hAnsi="Tahoma" w:cs="Tahoma"/>
        </w:rPr>
        <w:t>la résistance de 129.55/129.67</w:t>
      </w:r>
      <w:r w:rsidR="006D5B82">
        <w:rPr>
          <w:rFonts w:ascii="Tahoma" w:hAnsi="Tahoma" w:cs="Tahoma"/>
        </w:rPr>
        <w:t>.</w:t>
      </w:r>
      <w:r w:rsidR="0049330C">
        <w:rPr>
          <w:rFonts w:ascii="Tahoma" w:hAnsi="Tahoma" w:cs="Tahoma"/>
        </w:rPr>
        <w:t xml:space="preserve"> </w:t>
      </w:r>
      <w:r w:rsidR="007A595A">
        <w:rPr>
          <w:rFonts w:ascii="Tahoma" w:hAnsi="Tahoma" w:cs="Tahoma"/>
        </w:rPr>
        <w:t>Un retour sous 128.44 replacera le marché dans un environnement favorable à la baisse</w:t>
      </w:r>
      <w:r w:rsidR="007935F1">
        <w:rPr>
          <w:rFonts w:ascii="Tahoma" w:hAnsi="Tahoma" w:cs="Tahoma"/>
        </w:rPr>
        <w:t xml:space="preserve"> en direction du support de long terme de 127.40.</w:t>
      </w:r>
    </w:p>
    <w:p w14:paraId="655E9AC0" w14:textId="73891DA0" w:rsidR="00723F77" w:rsidRDefault="00723F77"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42E1"/>
    <w:rsid w:val="0002580A"/>
    <w:rsid w:val="00041E45"/>
    <w:rsid w:val="0005055A"/>
    <w:rsid w:val="000524C5"/>
    <w:rsid w:val="000556C3"/>
    <w:rsid w:val="000833FB"/>
    <w:rsid w:val="00092058"/>
    <w:rsid w:val="000938CC"/>
    <w:rsid w:val="0009638F"/>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E2B4A"/>
    <w:rsid w:val="001F650A"/>
    <w:rsid w:val="002003AD"/>
    <w:rsid w:val="002421FE"/>
    <w:rsid w:val="00262E25"/>
    <w:rsid w:val="00263ED0"/>
    <w:rsid w:val="002A1F8E"/>
    <w:rsid w:val="002B5CB1"/>
    <w:rsid w:val="002C0A31"/>
    <w:rsid w:val="002E4213"/>
    <w:rsid w:val="002F54B0"/>
    <w:rsid w:val="00303214"/>
    <w:rsid w:val="0030643B"/>
    <w:rsid w:val="00337611"/>
    <w:rsid w:val="00340FD9"/>
    <w:rsid w:val="00352DD9"/>
    <w:rsid w:val="003767E0"/>
    <w:rsid w:val="00397D3D"/>
    <w:rsid w:val="003B1CCB"/>
    <w:rsid w:val="0040171B"/>
    <w:rsid w:val="004036DA"/>
    <w:rsid w:val="00467005"/>
    <w:rsid w:val="0049330C"/>
    <w:rsid w:val="004A2D2D"/>
    <w:rsid w:val="004A5154"/>
    <w:rsid w:val="004F48EE"/>
    <w:rsid w:val="00531928"/>
    <w:rsid w:val="005440A4"/>
    <w:rsid w:val="00546A5A"/>
    <w:rsid w:val="00566580"/>
    <w:rsid w:val="00567AF3"/>
    <w:rsid w:val="00583BC8"/>
    <w:rsid w:val="005C5602"/>
    <w:rsid w:val="00654380"/>
    <w:rsid w:val="00664BE1"/>
    <w:rsid w:val="006B055C"/>
    <w:rsid w:val="006D3BD1"/>
    <w:rsid w:val="006D5B82"/>
    <w:rsid w:val="006E32BB"/>
    <w:rsid w:val="006E38E0"/>
    <w:rsid w:val="00710599"/>
    <w:rsid w:val="00723F77"/>
    <w:rsid w:val="00744696"/>
    <w:rsid w:val="007506A9"/>
    <w:rsid w:val="00772067"/>
    <w:rsid w:val="0077545D"/>
    <w:rsid w:val="007935F1"/>
    <w:rsid w:val="007A0A4B"/>
    <w:rsid w:val="007A0E6C"/>
    <w:rsid w:val="007A595A"/>
    <w:rsid w:val="007B1237"/>
    <w:rsid w:val="007B661D"/>
    <w:rsid w:val="007C1F29"/>
    <w:rsid w:val="007D19FF"/>
    <w:rsid w:val="007D2085"/>
    <w:rsid w:val="007D4181"/>
    <w:rsid w:val="0083454A"/>
    <w:rsid w:val="00837B38"/>
    <w:rsid w:val="00896554"/>
    <w:rsid w:val="008A7407"/>
    <w:rsid w:val="008F10C2"/>
    <w:rsid w:val="00902D2F"/>
    <w:rsid w:val="009120E1"/>
    <w:rsid w:val="00946C19"/>
    <w:rsid w:val="00961FDF"/>
    <w:rsid w:val="00983B7D"/>
    <w:rsid w:val="009A37C2"/>
    <w:rsid w:val="009B6639"/>
    <w:rsid w:val="009F3AB8"/>
    <w:rsid w:val="00A11606"/>
    <w:rsid w:val="00A6401C"/>
    <w:rsid w:val="00A81AB7"/>
    <w:rsid w:val="00AA522C"/>
    <w:rsid w:val="00AE7F3B"/>
    <w:rsid w:val="00B21AE4"/>
    <w:rsid w:val="00B34260"/>
    <w:rsid w:val="00B41C02"/>
    <w:rsid w:val="00B4335A"/>
    <w:rsid w:val="00B50E38"/>
    <w:rsid w:val="00B554B8"/>
    <w:rsid w:val="00B64EE0"/>
    <w:rsid w:val="00B8383C"/>
    <w:rsid w:val="00B86E65"/>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A2C45"/>
    <w:rsid w:val="00DE336F"/>
    <w:rsid w:val="00DE5444"/>
    <w:rsid w:val="00DF072F"/>
    <w:rsid w:val="00E32014"/>
    <w:rsid w:val="00E3727C"/>
    <w:rsid w:val="00EB58BA"/>
    <w:rsid w:val="00EE6B93"/>
    <w:rsid w:val="00F04A6E"/>
    <w:rsid w:val="00F04DEF"/>
    <w:rsid w:val="00F31070"/>
    <w:rsid w:val="00F53F10"/>
    <w:rsid w:val="00F636F8"/>
    <w:rsid w:val="00FA2C8E"/>
    <w:rsid w:val="00FB2165"/>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3</Pages>
  <Words>544</Words>
  <Characters>2995</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117</cp:revision>
  <dcterms:created xsi:type="dcterms:W3CDTF">2021-11-25T09:44:00Z</dcterms:created>
  <dcterms:modified xsi:type="dcterms:W3CDTF">2025-03-30T12:58:00Z</dcterms:modified>
</cp:coreProperties>
</file>