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5DBD2D5F" w:rsidR="00902D2F" w:rsidRPr="00041E45" w:rsidRDefault="00332827" w:rsidP="00B41C02">
      <w:pPr>
        <w:jc w:val="both"/>
        <w:rPr>
          <w:rFonts w:ascii="Tahoma" w:hAnsi="Tahoma" w:cs="Tahoma"/>
          <w:sz w:val="32"/>
          <w:szCs w:val="32"/>
          <w:u w:val="single"/>
        </w:rPr>
      </w:pPr>
      <w:r>
        <w:rPr>
          <w:rFonts w:ascii="Tahoma" w:hAnsi="Tahoma" w:cs="Tahoma"/>
          <w:sz w:val="32"/>
          <w:szCs w:val="32"/>
          <w:u w:val="single"/>
        </w:rPr>
        <w:t>Month</w:t>
      </w:r>
    </w:p>
    <w:p w14:paraId="2862B446" w14:textId="3D281263" w:rsidR="00902D2F" w:rsidRDefault="00332827" w:rsidP="00B41C02">
      <w:pPr>
        <w:jc w:val="both"/>
        <w:rPr>
          <w:rFonts w:ascii="Tahoma" w:hAnsi="Tahoma" w:cs="Tahoma"/>
        </w:rPr>
      </w:pPr>
      <w:r>
        <w:rPr>
          <w:noProof/>
        </w:rPr>
        <w:drawing>
          <wp:inline distT="0" distB="0" distL="0" distR="0" wp14:anchorId="59C06497" wp14:editId="56E2C483">
            <wp:extent cx="5760720" cy="4320540"/>
            <wp:effectExtent l="0" t="0" r="0" b="3810"/>
            <wp:docPr id="10072433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3F698D51" w:rsidR="00DF072F" w:rsidRDefault="00650624" w:rsidP="00B41C02">
      <w:pPr>
        <w:jc w:val="both"/>
        <w:rPr>
          <w:rFonts w:ascii="Tahoma" w:hAnsi="Tahoma" w:cs="Tahoma"/>
        </w:rPr>
      </w:pPr>
      <w:r>
        <w:rPr>
          <w:rFonts w:ascii="Tahoma" w:hAnsi="Tahoma" w:cs="Tahoma"/>
        </w:rPr>
        <w:t>Le graphique mensuel nous donne les supports et les résistances de long terme en fonction de la position du contrat. Ainsi, comme on peut l’observer sur le graphique, le marché évolue actuellement entre deux supports et deux résistances.</w:t>
      </w:r>
    </w:p>
    <w:p w14:paraId="13C2B418" w14:textId="0A1C5D87" w:rsidR="00650624" w:rsidRDefault="00650624" w:rsidP="00B41C02">
      <w:pPr>
        <w:jc w:val="both"/>
        <w:rPr>
          <w:rFonts w:ascii="Tahoma" w:hAnsi="Tahoma" w:cs="Tahoma"/>
        </w:rPr>
      </w:pPr>
      <w:r>
        <w:rPr>
          <w:rFonts w:ascii="Tahoma" w:hAnsi="Tahoma" w:cs="Tahoma"/>
        </w:rPr>
        <w:t>Les supports sont matérialisés par de plats passés. 127.40 représente un plat de SSB et 122.10, un plat de KS.</w:t>
      </w:r>
    </w:p>
    <w:p w14:paraId="1B4572EB" w14:textId="204EC168" w:rsidR="00650624" w:rsidRDefault="00650624" w:rsidP="00B41C02">
      <w:pPr>
        <w:jc w:val="both"/>
        <w:rPr>
          <w:rFonts w:ascii="Tahoma" w:hAnsi="Tahoma" w:cs="Tahoma"/>
        </w:rPr>
      </w:pPr>
      <w:r>
        <w:rPr>
          <w:rFonts w:ascii="Tahoma" w:hAnsi="Tahoma" w:cs="Tahoma"/>
        </w:rPr>
        <w:t>Les résistances résultent elles aussi de plats passés. Ici ce sera deux plats de KS sur 137.10 et 146.20.</w:t>
      </w:r>
    </w:p>
    <w:p w14:paraId="29EA339D" w14:textId="75DC9CD1" w:rsidR="00650624" w:rsidRDefault="00650624" w:rsidP="00B41C02">
      <w:pPr>
        <w:jc w:val="both"/>
        <w:rPr>
          <w:rFonts w:ascii="Tahoma" w:hAnsi="Tahoma" w:cs="Tahoma"/>
        </w:rPr>
      </w:pPr>
      <w:r>
        <w:rPr>
          <w:rFonts w:ascii="Tahoma" w:hAnsi="Tahoma" w:cs="Tahoma"/>
        </w:rPr>
        <w:t>Le contexte de long terme reste baissier car cours et LS évoluent sous leur nuage respectif.</w:t>
      </w:r>
    </w:p>
    <w:p w14:paraId="5C9D1F98" w14:textId="5873425B" w:rsidR="00650624" w:rsidRDefault="00650624" w:rsidP="00B41C02">
      <w:pPr>
        <w:jc w:val="both"/>
        <w:rPr>
          <w:rFonts w:ascii="Tahoma" w:hAnsi="Tahoma" w:cs="Tahoma"/>
        </w:rPr>
      </w:pPr>
      <w:r>
        <w:rPr>
          <w:rFonts w:ascii="Tahoma" w:hAnsi="Tahoma" w:cs="Tahoma"/>
        </w:rPr>
        <w:t>Le moyen terme a cadré les cours au sein d’une dérive latérale, tracée en rouge sur le graphique qui reprend les points de 128.44 en tant que support et 139.</w:t>
      </w:r>
      <w:r w:rsidR="0086255B">
        <w:rPr>
          <w:rFonts w:ascii="Tahoma" w:hAnsi="Tahoma" w:cs="Tahoma"/>
        </w:rPr>
        <w:t>05 en résistance.</w:t>
      </w:r>
    </w:p>
    <w:p w14:paraId="03CD7F4D" w14:textId="4FFCCEF8" w:rsidR="0086255B" w:rsidRDefault="0086255B" w:rsidP="00B41C02">
      <w:pPr>
        <w:jc w:val="both"/>
        <w:rPr>
          <w:rFonts w:ascii="Tahoma" w:hAnsi="Tahoma" w:cs="Tahoma"/>
        </w:rPr>
      </w:pPr>
      <w:r>
        <w:rPr>
          <w:rFonts w:ascii="Tahoma" w:hAnsi="Tahoma" w:cs="Tahoma"/>
        </w:rPr>
        <w:t xml:space="preserve">La mèche basse de la dernière bougie ne valide pas la cassure de la borne basse de la zone de consolidation (soit 128.44) tout comme elle n’invalide pas le support de long terme de 127.40 matérialisé par </w:t>
      </w:r>
      <w:r w:rsidR="003F7A04">
        <w:rPr>
          <w:rFonts w:ascii="Tahoma" w:hAnsi="Tahoma" w:cs="Tahoma"/>
        </w:rPr>
        <w:t xml:space="preserve">le </w:t>
      </w:r>
      <w:r>
        <w:rPr>
          <w:rFonts w:ascii="Tahoma" w:hAnsi="Tahoma" w:cs="Tahoma"/>
        </w:rPr>
        <w:t>plat de SSB passée.</w:t>
      </w:r>
    </w:p>
    <w:p w14:paraId="3B9F0139" w14:textId="22D747AB" w:rsidR="00A65592" w:rsidRDefault="00A65592" w:rsidP="00B41C02">
      <w:pPr>
        <w:jc w:val="both"/>
        <w:rPr>
          <w:rFonts w:ascii="Tahoma" w:hAnsi="Tahoma" w:cs="Tahoma"/>
        </w:rPr>
      </w:pPr>
      <w:r>
        <w:rPr>
          <w:rFonts w:ascii="Tahoma" w:hAnsi="Tahoma" w:cs="Tahoma"/>
        </w:rPr>
        <w:t xml:space="preserve">La réaction haussière après un plus bas sur 126.53 traduit plutôt des rachats de shorts qu’un courant acheteur convaincu. Les </w:t>
      </w:r>
      <w:r w:rsidR="009E7DC2">
        <w:rPr>
          <w:rFonts w:ascii="Tahoma" w:hAnsi="Tahoma" w:cs="Tahoma"/>
        </w:rPr>
        <w:t>unités</w:t>
      </w:r>
      <w:r>
        <w:rPr>
          <w:rFonts w:ascii="Tahoma" w:hAnsi="Tahoma" w:cs="Tahoma"/>
        </w:rPr>
        <w:t xml:space="preserve"> de temps inferieures confirment cette vue. </w:t>
      </w:r>
      <w:r w:rsidR="00551A01">
        <w:rPr>
          <w:rFonts w:ascii="Tahoma" w:hAnsi="Tahoma" w:cs="Tahoma"/>
        </w:rPr>
        <w:t xml:space="preserve"> Les </w:t>
      </w:r>
      <w:r>
        <w:rPr>
          <w:rFonts w:ascii="Tahoma" w:hAnsi="Tahoma" w:cs="Tahoma"/>
        </w:rPr>
        <w:t xml:space="preserve">prises </w:t>
      </w:r>
      <w:r>
        <w:rPr>
          <w:rFonts w:ascii="Tahoma" w:hAnsi="Tahoma" w:cs="Tahoma"/>
        </w:rPr>
        <w:lastRenderedPageBreak/>
        <w:t xml:space="preserve">de profit de la part de vendeurs, </w:t>
      </w:r>
      <w:r w:rsidR="00551A01">
        <w:rPr>
          <w:rFonts w:ascii="Tahoma" w:hAnsi="Tahoma" w:cs="Tahoma"/>
        </w:rPr>
        <w:t>laisse penser</w:t>
      </w:r>
      <w:r>
        <w:rPr>
          <w:rFonts w:ascii="Tahoma" w:hAnsi="Tahoma" w:cs="Tahoma"/>
        </w:rPr>
        <w:t xml:space="preserve"> que si les </w:t>
      </w:r>
      <w:r w:rsidR="009E7DC2">
        <w:rPr>
          <w:rFonts w:ascii="Tahoma" w:hAnsi="Tahoma" w:cs="Tahoma"/>
        </w:rPr>
        <w:t>réalisations</w:t>
      </w:r>
      <w:r>
        <w:rPr>
          <w:rFonts w:ascii="Tahoma" w:hAnsi="Tahoma" w:cs="Tahoma"/>
        </w:rPr>
        <w:t xml:space="preserve"> de gains se poursuivent, elles peuvent déboucher sur la formation d’un courant acheteur un peu plus solide.</w:t>
      </w:r>
    </w:p>
    <w:p w14:paraId="38AD822A" w14:textId="293CCAD9" w:rsidR="00A65592" w:rsidRDefault="00A65592" w:rsidP="00B41C02">
      <w:pPr>
        <w:jc w:val="both"/>
        <w:rPr>
          <w:rFonts w:ascii="Tahoma" w:hAnsi="Tahoma" w:cs="Tahoma"/>
        </w:rPr>
      </w:pPr>
      <w:r>
        <w:rPr>
          <w:rFonts w:ascii="Tahoma" w:hAnsi="Tahoma" w:cs="Tahoma"/>
        </w:rPr>
        <w:t xml:space="preserve">Pour cela, le contrat devra se maintenir </w:t>
      </w:r>
      <w:r w:rsidR="009E7DC2">
        <w:rPr>
          <w:rFonts w:ascii="Tahoma" w:hAnsi="Tahoma" w:cs="Tahoma"/>
        </w:rPr>
        <w:t>au-dessus</w:t>
      </w:r>
      <w:r>
        <w:rPr>
          <w:rFonts w:ascii="Tahoma" w:hAnsi="Tahoma" w:cs="Tahoma"/>
        </w:rPr>
        <w:t xml:space="preserve"> de son support </w:t>
      </w:r>
      <w:r w:rsidR="00990F5C">
        <w:rPr>
          <w:rFonts w:ascii="Tahoma" w:hAnsi="Tahoma" w:cs="Tahoma"/>
        </w:rPr>
        <w:t>de long terme de 127.40.</w:t>
      </w:r>
      <w:r>
        <w:rPr>
          <w:rFonts w:ascii="Tahoma" w:hAnsi="Tahoma" w:cs="Tahoma"/>
        </w:rPr>
        <w:t xml:space="preserve"> </w:t>
      </w:r>
    </w:p>
    <w:p w14:paraId="10BB9766" w14:textId="77777777" w:rsidR="00723F77" w:rsidRDefault="00723F77" w:rsidP="00041E45">
      <w:pPr>
        <w:jc w:val="both"/>
        <w:rPr>
          <w:rFonts w:ascii="Tahoma" w:hAnsi="Tahoma" w:cs="Tahoma"/>
        </w:rPr>
      </w:pPr>
    </w:p>
    <w:p w14:paraId="258EB8FF" w14:textId="1C701052"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990F5C">
        <w:rPr>
          <w:rFonts w:ascii="Tahoma" w:hAnsi="Tahoma" w:cs="Tahoma"/>
        </w:rPr>
        <w:t xml:space="preserve"> En maintien des prix </w:t>
      </w:r>
      <w:r w:rsidR="009E7DC2">
        <w:rPr>
          <w:rFonts w:ascii="Tahoma" w:hAnsi="Tahoma" w:cs="Tahoma"/>
        </w:rPr>
        <w:t>au-dessus</w:t>
      </w:r>
      <w:r w:rsidR="00990F5C">
        <w:rPr>
          <w:rFonts w:ascii="Tahoma" w:hAnsi="Tahoma" w:cs="Tahoma"/>
        </w:rPr>
        <w:t xml:space="preserve"> de 127.40, rachats de shorts qui pourraient déboucher sur un courant acheteur plus solide.</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B5CB1"/>
    <w:rsid w:val="002C0A31"/>
    <w:rsid w:val="002F54B0"/>
    <w:rsid w:val="00303214"/>
    <w:rsid w:val="0030643B"/>
    <w:rsid w:val="00332827"/>
    <w:rsid w:val="00337611"/>
    <w:rsid w:val="00340FD9"/>
    <w:rsid w:val="00352DD9"/>
    <w:rsid w:val="003767E0"/>
    <w:rsid w:val="00397D3D"/>
    <w:rsid w:val="003F7A04"/>
    <w:rsid w:val="0040171B"/>
    <w:rsid w:val="00467005"/>
    <w:rsid w:val="004A2D2D"/>
    <w:rsid w:val="004A5154"/>
    <w:rsid w:val="004F48EE"/>
    <w:rsid w:val="00531928"/>
    <w:rsid w:val="005440A4"/>
    <w:rsid w:val="00546A5A"/>
    <w:rsid w:val="00551A01"/>
    <w:rsid w:val="00566580"/>
    <w:rsid w:val="00567AF3"/>
    <w:rsid w:val="00583BC8"/>
    <w:rsid w:val="00650624"/>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6255B"/>
    <w:rsid w:val="00896554"/>
    <w:rsid w:val="008A7407"/>
    <w:rsid w:val="008F10C2"/>
    <w:rsid w:val="00902D2F"/>
    <w:rsid w:val="00961FDF"/>
    <w:rsid w:val="00983B7D"/>
    <w:rsid w:val="00990F5C"/>
    <w:rsid w:val="009A37C2"/>
    <w:rsid w:val="009E7DC2"/>
    <w:rsid w:val="009F3AB8"/>
    <w:rsid w:val="009F7877"/>
    <w:rsid w:val="00A11606"/>
    <w:rsid w:val="00A6401C"/>
    <w:rsid w:val="00A65592"/>
    <w:rsid w:val="00A81AB7"/>
    <w:rsid w:val="00AA522C"/>
    <w:rsid w:val="00AE7F3B"/>
    <w:rsid w:val="00B34260"/>
    <w:rsid w:val="00B41C02"/>
    <w:rsid w:val="00B4335A"/>
    <w:rsid w:val="00B50E38"/>
    <w:rsid w:val="00B554B8"/>
    <w:rsid w:val="00B64EE0"/>
    <w:rsid w:val="00B94D71"/>
    <w:rsid w:val="00B967D8"/>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CF7CD9"/>
    <w:rsid w:val="00D23B28"/>
    <w:rsid w:val="00D46C8D"/>
    <w:rsid w:val="00DA1359"/>
    <w:rsid w:val="00DE5444"/>
    <w:rsid w:val="00DF072F"/>
    <w:rsid w:val="00E32014"/>
    <w:rsid w:val="00E3727C"/>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594</TotalTime>
  <Pages>3</Pages>
  <Words>381</Words>
  <Characters>2097</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102</cp:revision>
  <dcterms:created xsi:type="dcterms:W3CDTF">2021-11-25T09:44:00Z</dcterms:created>
  <dcterms:modified xsi:type="dcterms:W3CDTF">2025-04-01T15:43:00Z</dcterms:modified>
</cp:coreProperties>
</file>