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75A3F438" w:rsidR="00902D2F" w:rsidRDefault="009C4842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98C2D9B" wp14:editId="3DCE87CE">
            <wp:extent cx="5760720" cy="4320540"/>
            <wp:effectExtent l="0" t="0" r="0" b="3810"/>
            <wp:docPr id="27166154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4D2D2" w14:textId="3C659E4F" w:rsidR="00DF072F" w:rsidRDefault="00041E4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770292">
        <w:rPr>
          <w:rFonts w:ascii="Tahoma" w:hAnsi="Tahoma" w:cs="Tahoma"/>
        </w:rPr>
        <w:t xml:space="preserve">e retour des cours au sein de la dérive latérale replace le marché dans un environnement de consolidation. En effet la cassure </w:t>
      </w:r>
      <w:r w:rsidR="00B74C04">
        <w:rPr>
          <w:rFonts w:ascii="Tahoma" w:hAnsi="Tahoma" w:cs="Tahoma"/>
        </w:rPr>
        <w:t xml:space="preserve">de la borne basse </w:t>
      </w:r>
      <w:r w:rsidR="00770292">
        <w:rPr>
          <w:rFonts w:ascii="Tahoma" w:hAnsi="Tahoma" w:cs="Tahoma"/>
        </w:rPr>
        <w:t xml:space="preserve">de 128.44 </w:t>
      </w:r>
      <w:r w:rsidR="00B74C04">
        <w:rPr>
          <w:rFonts w:ascii="Tahoma" w:hAnsi="Tahoma" w:cs="Tahoma"/>
        </w:rPr>
        <w:t>devait servir de résistance et confirmer le biais baissier validé après son passage.</w:t>
      </w:r>
      <w:r w:rsidR="00AA54D7">
        <w:rPr>
          <w:rFonts w:ascii="Tahoma" w:hAnsi="Tahoma" w:cs="Tahoma"/>
        </w:rPr>
        <w:t xml:space="preserve"> Mais l’affolement des marchés financiers cette semaine a rebattu les cartes. </w:t>
      </w:r>
    </w:p>
    <w:p w14:paraId="4DB15768" w14:textId="21D3BD58" w:rsidR="00AA54D7" w:rsidRDefault="00AA54D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Nous assistons à un « flight to quality », une recherche de la sécurité, des bourses action vers les emprunts d’états. Ce développement a permis aux prix de réintégrer sa dérive latérale</w:t>
      </w:r>
      <w:r w:rsidR="00BB454C">
        <w:rPr>
          <w:rFonts w:ascii="Tahoma" w:hAnsi="Tahoma" w:cs="Tahoma"/>
        </w:rPr>
        <w:t xml:space="preserve"> pour se diriger vers son point médian de 133.40.</w:t>
      </w:r>
    </w:p>
    <w:p w14:paraId="543998D6" w14:textId="3990FA16" w:rsidR="002269C3" w:rsidRDefault="002269C3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Il est important de ne pas oubli</w:t>
      </w:r>
      <w:r w:rsidR="00AB504F">
        <w:rPr>
          <w:rFonts w:ascii="Tahoma" w:hAnsi="Tahoma" w:cs="Tahoma"/>
        </w:rPr>
        <w:t>er</w:t>
      </w:r>
      <w:r>
        <w:rPr>
          <w:rFonts w:ascii="Tahoma" w:hAnsi="Tahoma" w:cs="Tahoma"/>
        </w:rPr>
        <w:t xml:space="preserve"> que dans ce rebond</w:t>
      </w:r>
      <w:r w:rsidR="00AB504F">
        <w:rPr>
          <w:rFonts w:ascii="Tahoma" w:hAnsi="Tahoma" w:cs="Tahoma"/>
        </w:rPr>
        <w:t xml:space="preserve"> qui n’a rien de technique,</w:t>
      </w:r>
      <w:r>
        <w:rPr>
          <w:rFonts w:ascii="Tahoma" w:hAnsi="Tahoma" w:cs="Tahoma"/>
        </w:rPr>
        <w:t xml:space="preserve"> le support de long terme de 127.40 a permis de remettre en question la cassure de la dérive latérale. Ce point sera important à l’avenir lorsque les marchés auront </w:t>
      </w:r>
      <w:r w:rsidR="00AB504F">
        <w:rPr>
          <w:rFonts w:ascii="Tahoma" w:hAnsi="Tahoma" w:cs="Tahoma"/>
        </w:rPr>
        <w:t>évacué</w:t>
      </w:r>
      <w:r>
        <w:rPr>
          <w:rFonts w:ascii="Tahoma" w:hAnsi="Tahoma" w:cs="Tahoma"/>
        </w:rPr>
        <w:t xml:space="preserve"> le stress des nouveaux droits de douane </w:t>
      </w:r>
      <w:r w:rsidR="00AB504F">
        <w:rPr>
          <w:rFonts w:ascii="Tahoma" w:hAnsi="Tahoma" w:cs="Tahoma"/>
        </w:rPr>
        <w:t>imposés</w:t>
      </w:r>
      <w:r>
        <w:rPr>
          <w:rFonts w:ascii="Tahoma" w:hAnsi="Tahoma" w:cs="Tahoma"/>
        </w:rPr>
        <w:t xml:space="preserve"> par les Etats Unis.</w:t>
      </w:r>
    </w:p>
    <w:p w14:paraId="2DE76CE7" w14:textId="011683C3" w:rsidR="00B74C04" w:rsidRDefault="002269C3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dépassement du point médian de la dernière longue chandelle noire en réduira son impact </w:t>
      </w:r>
      <w:r w:rsidR="00AB504F">
        <w:rPr>
          <w:rFonts w:ascii="Tahoma" w:hAnsi="Tahoma" w:cs="Tahoma"/>
        </w:rPr>
        <w:t xml:space="preserve">négatif </w:t>
      </w:r>
      <w:r w:rsidR="008F61F6">
        <w:rPr>
          <w:rFonts w:ascii="Tahoma" w:hAnsi="Tahoma" w:cs="Tahoma"/>
        </w:rPr>
        <w:t>lors des prochains échanges.</w:t>
      </w:r>
      <w:r w:rsidR="00E54EF7">
        <w:rPr>
          <w:rFonts w:ascii="Tahoma" w:hAnsi="Tahoma" w:cs="Tahoma"/>
        </w:rPr>
        <w:t xml:space="preserve"> La cassure de la KS de 131.31 devrait prolonger la hausse de la semaine pour amener le contrat Bund sur son point neutre de 133.40.</w:t>
      </w:r>
    </w:p>
    <w:p w14:paraId="65CE6DFB" w14:textId="77777777" w:rsidR="001D0369" w:rsidRDefault="001D0369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DAY</w:t>
      </w:r>
    </w:p>
    <w:p w14:paraId="1675B8DF" w14:textId="60A3BEB0" w:rsidR="00583BC8" w:rsidRDefault="009C4842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47736DE3" wp14:editId="4CD67699">
            <wp:extent cx="5760720" cy="4320540"/>
            <wp:effectExtent l="0" t="0" r="0" b="3810"/>
            <wp:docPr id="1658766567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8B186" w14:textId="5190F4E2" w:rsidR="00467005" w:rsidRDefault="003A6DBA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dépassement du plat de KS de </w:t>
      </w:r>
      <w:r w:rsidR="006F256D">
        <w:rPr>
          <w:rFonts w:ascii="Tahoma" w:hAnsi="Tahoma" w:cs="Tahoma"/>
        </w:rPr>
        <w:t>129.55 permet d’envisager une poursuite de la hausse des cours. Le haut de la dernière bougie a testé la borne basse du nuage. Ce dernier est fin et sera passé facilement si les cours continuent leur mouvement.</w:t>
      </w:r>
    </w:p>
    <w:p w14:paraId="71215BE3" w14:textId="130CE730" w:rsidR="006F256D" w:rsidRDefault="006F256D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Une poursuite de la hausse sera envisagée tant que 129.55 servira de support. Ce plat de KS est renforcé par un plat de SSB futur.</w:t>
      </w:r>
    </w:p>
    <w:p w14:paraId="776F9557" w14:textId="35AC77EA" w:rsidR="00F51DD3" w:rsidRDefault="00F51DD3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Mais comme on peut l’observer sur le graphique, la dernière bougie comporte une ombre haute aussi importante que son corps vrai. Cela nous </w:t>
      </w:r>
      <w:r w:rsidR="00AB504F">
        <w:rPr>
          <w:rFonts w:ascii="Tahoma" w:hAnsi="Tahoma" w:cs="Tahoma"/>
        </w:rPr>
        <w:t>avertit</w:t>
      </w:r>
      <w:r>
        <w:rPr>
          <w:rFonts w:ascii="Tahoma" w:hAnsi="Tahoma" w:cs="Tahoma"/>
        </w:rPr>
        <w:t xml:space="preserve"> que la </w:t>
      </w:r>
      <w:r w:rsidR="001D0369">
        <w:rPr>
          <w:rFonts w:ascii="Tahoma" w:hAnsi="Tahoma" w:cs="Tahoma"/>
        </w:rPr>
        <w:t xml:space="preserve">poursuite de la </w:t>
      </w:r>
      <w:r>
        <w:rPr>
          <w:rFonts w:ascii="Tahoma" w:hAnsi="Tahoma" w:cs="Tahoma"/>
        </w:rPr>
        <w:t>hausse ne fait pas l’unanimité</w:t>
      </w:r>
      <w:r w:rsidR="001D0369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</w:t>
      </w:r>
      <w:r w:rsidR="001D0369">
        <w:rPr>
          <w:rFonts w:ascii="Tahoma" w:hAnsi="Tahoma" w:cs="Tahoma"/>
        </w:rPr>
        <w:t>O</w:t>
      </w:r>
      <w:r>
        <w:rPr>
          <w:rFonts w:ascii="Tahoma" w:hAnsi="Tahoma" w:cs="Tahoma"/>
        </w:rPr>
        <w:t xml:space="preserve">u que l’absence de conviction directionnelle s’est traduite par des </w:t>
      </w:r>
      <w:r w:rsidR="00AB504F">
        <w:rPr>
          <w:rFonts w:ascii="Tahoma" w:hAnsi="Tahoma" w:cs="Tahoma"/>
        </w:rPr>
        <w:t>clôtures</w:t>
      </w:r>
      <w:r>
        <w:rPr>
          <w:rFonts w:ascii="Tahoma" w:hAnsi="Tahoma" w:cs="Tahoma"/>
        </w:rPr>
        <w:t xml:space="preserve"> de positions longues durant le </w:t>
      </w:r>
      <w:r w:rsidR="00AB504F">
        <w:rPr>
          <w:rFonts w:ascii="Tahoma" w:hAnsi="Tahoma" w:cs="Tahoma"/>
        </w:rPr>
        <w:t>Week</w:t>
      </w:r>
      <w:r>
        <w:rPr>
          <w:rFonts w:ascii="Tahoma" w:hAnsi="Tahoma" w:cs="Tahoma"/>
        </w:rPr>
        <w:t xml:space="preserve"> end dans l’attente d’un début de semaine qui sera </w:t>
      </w:r>
      <w:r w:rsidR="001D0369">
        <w:rPr>
          <w:rFonts w:ascii="Tahoma" w:hAnsi="Tahoma" w:cs="Tahoma"/>
        </w:rPr>
        <w:t xml:space="preserve">alors </w:t>
      </w:r>
      <w:r>
        <w:rPr>
          <w:rFonts w:ascii="Tahoma" w:hAnsi="Tahoma" w:cs="Tahoma"/>
        </w:rPr>
        <w:t>caractérisé par une attitude de suiveur plutôt que par de la conviction.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4E0BF93E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775458">
        <w:rPr>
          <w:rFonts w:ascii="Tahoma" w:hAnsi="Tahoma" w:cs="Tahoma"/>
        </w:rPr>
        <w:t xml:space="preserve"> Flight to quality qui parasite l’analyse. En l’absence de conviction forte quant à l’avenir, le mimétisme devrait </w:t>
      </w:r>
      <w:r w:rsidR="00AB504F">
        <w:rPr>
          <w:rFonts w:ascii="Tahoma" w:hAnsi="Tahoma" w:cs="Tahoma"/>
        </w:rPr>
        <w:t>être</w:t>
      </w:r>
      <w:r w:rsidR="00775458">
        <w:rPr>
          <w:rFonts w:ascii="Tahoma" w:hAnsi="Tahoma" w:cs="Tahoma"/>
        </w:rPr>
        <w:t xml:space="preserve"> l’attitude dominante des intervenants. Poursuite de la hausse en maintien du contrat </w:t>
      </w:r>
      <w:r w:rsidR="00AB504F">
        <w:rPr>
          <w:rFonts w:ascii="Tahoma" w:hAnsi="Tahoma" w:cs="Tahoma"/>
        </w:rPr>
        <w:t>au-dessus</w:t>
      </w:r>
      <w:r w:rsidR="00775458">
        <w:rPr>
          <w:rFonts w:ascii="Tahoma" w:hAnsi="Tahoma" w:cs="Tahoma"/>
        </w:rPr>
        <w:t xml:space="preserve"> de 129.55.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B0F35"/>
    <w:rsid w:val="001D0369"/>
    <w:rsid w:val="001D474B"/>
    <w:rsid w:val="001F650A"/>
    <w:rsid w:val="002003AD"/>
    <w:rsid w:val="002269C3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3A6DBA"/>
    <w:rsid w:val="0040171B"/>
    <w:rsid w:val="00467005"/>
    <w:rsid w:val="004A2D2D"/>
    <w:rsid w:val="004A5154"/>
    <w:rsid w:val="004F48EE"/>
    <w:rsid w:val="00531928"/>
    <w:rsid w:val="005440A4"/>
    <w:rsid w:val="00546A5A"/>
    <w:rsid w:val="00566580"/>
    <w:rsid w:val="00567AF3"/>
    <w:rsid w:val="00583BC8"/>
    <w:rsid w:val="0061488D"/>
    <w:rsid w:val="00654380"/>
    <w:rsid w:val="00664BE1"/>
    <w:rsid w:val="006B055C"/>
    <w:rsid w:val="006E32BB"/>
    <w:rsid w:val="006E38E0"/>
    <w:rsid w:val="006F256D"/>
    <w:rsid w:val="00710599"/>
    <w:rsid w:val="00723F77"/>
    <w:rsid w:val="00744696"/>
    <w:rsid w:val="00770292"/>
    <w:rsid w:val="00772067"/>
    <w:rsid w:val="00775458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F10C2"/>
    <w:rsid w:val="008F61F6"/>
    <w:rsid w:val="00902D2F"/>
    <w:rsid w:val="00961FDF"/>
    <w:rsid w:val="00983B7D"/>
    <w:rsid w:val="009A37C2"/>
    <w:rsid w:val="009C4842"/>
    <w:rsid w:val="009F3AB8"/>
    <w:rsid w:val="00A11606"/>
    <w:rsid w:val="00A6401C"/>
    <w:rsid w:val="00A81AB7"/>
    <w:rsid w:val="00AA522C"/>
    <w:rsid w:val="00AA54D7"/>
    <w:rsid w:val="00AB504F"/>
    <w:rsid w:val="00AE7F3B"/>
    <w:rsid w:val="00B34260"/>
    <w:rsid w:val="00B41C02"/>
    <w:rsid w:val="00B4335A"/>
    <w:rsid w:val="00B50E38"/>
    <w:rsid w:val="00B554B8"/>
    <w:rsid w:val="00B64EE0"/>
    <w:rsid w:val="00B74C04"/>
    <w:rsid w:val="00B94D71"/>
    <w:rsid w:val="00BB0E32"/>
    <w:rsid w:val="00BB454C"/>
    <w:rsid w:val="00BB6D9D"/>
    <w:rsid w:val="00BC77A5"/>
    <w:rsid w:val="00BD3FC1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E5444"/>
    <w:rsid w:val="00DF072F"/>
    <w:rsid w:val="00E32014"/>
    <w:rsid w:val="00E3727C"/>
    <w:rsid w:val="00E54EF7"/>
    <w:rsid w:val="00EB58BA"/>
    <w:rsid w:val="00EE6B93"/>
    <w:rsid w:val="00F04A6E"/>
    <w:rsid w:val="00F04DEF"/>
    <w:rsid w:val="00F31070"/>
    <w:rsid w:val="00F51DD3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Pages>3</Pages>
  <Words>481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111</cp:revision>
  <dcterms:created xsi:type="dcterms:W3CDTF">2021-11-25T09:44:00Z</dcterms:created>
  <dcterms:modified xsi:type="dcterms:W3CDTF">2025-04-06T17:07:00Z</dcterms:modified>
</cp:coreProperties>
</file>