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F0CCA80" w:rsidR="00902D2F" w:rsidRDefault="00157E5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3A2F825" wp14:editId="0F3216A4">
            <wp:extent cx="5760720" cy="4320540"/>
            <wp:effectExtent l="0" t="0" r="0" b="3810"/>
            <wp:docPr id="146535380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55BA0BED" w:rsidR="00DF072F" w:rsidRDefault="00041E4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BA060C">
        <w:rPr>
          <w:rFonts w:ascii="Tahoma" w:hAnsi="Tahoma" w:cs="Tahoma"/>
        </w:rPr>
        <w:t xml:space="preserve"> maintien des prix </w:t>
      </w:r>
      <w:r w:rsidR="00F07B07">
        <w:rPr>
          <w:rFonts w:ascii="Tahoma" w:hAnsi="Tahoma" w:cs="Tahoma"/>
        </w:rPr>
        <w:t>au-dessus</w:t>
      </w:r>
      <w:r w:rsidR="00BA060C">
        <w:rPr>
          <w:rFonts w:ascii="Tahoma" w:hAnsi="Tahoma" w:cs="Tahoma"/>
        </w:rPr>
        <w:t xml:space="preserve"> du plat de SSB de 4557, issu en partie du report des droits de douane des USA sur le reste du monde, a permis un rebond </w:t>
      </w:r>
      <w:r w:rsidR="00311057">
        <w:rPr>
          <w:rFonts w:ascii="Tahoma" w:hAnsi="Tahoma" w:cs="Tahoma"/>
        </w:rPr>
        <w:t>des indices boursiers.</w:t>
      </w:r>
    </w:p>
    <w:p w14:paraId="3596B362" w14:textId="2C66C591" w:rsidR="00BA060C" w:rsidRDefault="00BA060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Malgré la forte volatilité, le contexte haussier </w:t>
      </w:r>
      <w:r w:rsidR="00311057">
        <w:rPr>
          <w:rFonts w:ascii="Tahoma" w:hAnsi="Tahoma" w:cs="Tahoma"/>
        </w:rPr>
        <w:t xml:space="preserve">de l’Eurostoxx 50 </w:t>
      </w:r>
      <w:r>
        <w:rPr>
          <w:rFonts w:ascii="Tahoma" w:hAnsi="Tahoma" w:cs="Tahoma"/>
        </w:rPr>
        <w:t>n’a pas été remis en question et les cours évoluent toujours dans un environnement positif.</w:t>
      </w:r>
    </w:p>
    <w:p w14:paraId="41166E90" w14:textId="0B939D2A" w:rsidR="00B96166" w:rsidRDefault="00B9616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LS est revenue </w:t>
      </w:r>
      <w:r w:rsidR="00F07B07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sa barrière de prix et plus aucun obstacle en dehors des </w:t>
      </w:r>
      <w:r w:rsidR="00F07B07">
        <w:rPr>
          <w:rFonts w:ascii="Tahoma" w:hAnsi="Tahoma" w:cs="Tahoma"/>
        </w:rPr>
        <w:t>résistances</w:t>
      </w:r>
      <w:r>
        <w:rPr>
          <w:rFonts w:ascii="Tahoma" w:hAnsi="Tahoma" w:cs="Tahoma"/>
        </w:rPr>
        <w:t xml:space="preserve"> techniques, ne devrait </w:t>
      </w:r>
      <w:r w:rsidR="00F07B07">
        <w:rPr>
          <w:rFonts w:ascii="Tahoma" w:hAnsi="Tahoma" w:cs="Tahoma"/>
        </w:rPr>
        <w:t>gêner</w:t>
      </w:r>
      <w:r>
        <w:rPr>
          <w:rFonts w:ascii="Tahoma" w:hAnsi="Tahoma" w:cs="Tahoma"/>
        </w:rPr>
        <w:t xml:space="preserve"> une nouvelle vague de hausse.</w:t>
      </w:r>
    </w:p>
    <w:p w14:paraId="30E2CC31" w14:textId="542B2D45" w:rsidR="00B96166" w:rsidRDefault="008D055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</w:t>
      </w:r>
      <w:r w:rsidR="00965C7E">
        <w:rPr>
          <w:rFonts w:ascii="Tahoma" w:hAnsi="Tahoma" w:cs="Tahoma"/>
        </w:rPr>
        <w:t xml:space="preserve"> hausse des </w:t>
      </w:r>
      <w:r w:rsidR="00023A6C">
        <w:rPr>
          <w:rFonts w:ascii="Tahoma" w:hAnsi="Tahoma" w:cs="Tahoma"/>
        </w:rPr>
        <w:t>cours</w:t>
      </w:r>
      <w:r w:rsidR="00965C7E">
        <w:rPr>
          <w:rFonts w:ascii="Tahoma" w:hAnsi="Tahoma" w:cs="Tahoma"/>
        </w:rPr>
        <w:t xml:space="preserve"> a remis en cause partiellement la</w:t>
      </w:r>
      <w:r>
        <w:rPr>
          <w:rFonts w:ascii="Tahoma" w:hAnsi="Tahoma" w:cs="Tahoma"/>
        </w:rPr>
        <w:t xml:space="preserve"> longue chandelle noire de la semaine du 31 mars (T-4)</w:t>
      </w:r>
      <w:r w:rsidR="00965C7E">
        <w:rPr>
          <w:rFonts w:ascii="Tahoma" w:hAnsi="Tahoma" w:cs="Tahoma"/>
        </w:rPr>
        <w:t xml:space="preserve">. Une poursuite de la progression </w:t>
      </w:r>
      <w:r w:rsidR="00F07B07">
        <w:rPr>
          <w:rFonts w:ascii="Tahoma" w:hAnsi="Tahoma" w:cs="Tahoma"/>
        </w:rPr>
        <w:t>au-delà</w:t>
      </w:r>
      <w:r w:rsidR="00965C7E">
        <w:rPr>
          <w:rFonts w:ascii="Tahoma" w:hAnsi="Tahoma" w:cs="Tahoma"/>
        </w:rPr>
        <w:t xml:space="preserve"> de 5312 </w:t>
      </w:r>
      <w:r w:rsidR="00050011">
        <w:rPr>
          <w:rFonts w:ascii="Tahoma" w:hAnsi="Tahoma" w:cs="Tahoma"/>
        </w:rPr>
        <w:t>annulera l’impact négatif d</w:t>
      </w:r>
      <w:r w:rsidR="00023A6C">
        <w:rPr>
          <w:rFonts w:ascii="Tahoma" w:hAnsi="Tahoma" w:cs="Tahoma"/>
        </w:rPr>
        <w:t>e ce</w:t>
      </w:r>
      <w:r w:rsidR="00050011">
        <w:rPr>
          <w:rFonts w:ascii="Tahoma" w:hAnsi="Tahoma" w:cs="Tahoma"/>
        </w:rPr>
        <w:t xml:space="preserve"> marubozu noir (T-4) et permettra d’envisager un retour </w:t>
      </w:r>
      <w:r w:rsidR="00023A6C">
        <w:rPr>
          <w:rFonts w:ascii="Tahoma" w:hAnsi="Tahoma" w:cs="Tahoma"/>
        </w:rPr>
        <w:t>de l’indice sur</w:t>
      </w:r>
      <w:r w:rsidR="00050011">
        <w:rPr>
          <w:rFonts w:ascii="Tahoma" w:hAnsi="Tahoma" w:cs="Tahoma"/>
        </w:rPr>
        <w:t xml:space="preserve"> </w:t>
      </w:r>
      <w:r w:rsidR="00023A6C">
        <w:rPr>
          <w:rFonts w:ascii="Tahoma" w:hAnsi="Tahoma" w:cs="Tahoma"/>
        </w:rPr>
        <w:t>s</w:t>
      </w:r>
      <w:r w:rsidR="00050011">
        <w:rPr>
          <w:rFonts w:ascii="Tahoma" w:hAnsi="Tahoma" w:cs="Tahoma"/>
        </w:rPr>
        <w:t>es hauts récents.</w:t>
      </w:r>
      <w:r w:rsidR="00965C7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 </w:t>
      </w:r>
    </w:p>
    <w:p w14:paraId="6B16A5EE" w14:textId="77777777" w:rsidR="00BA060C" w:rsidRDefault="00BA060C" w:rsidP="00B41C02">
      <w:pPr>
        <w:jc w:val="both"/>
        <w:rPr>
          <w:rFonts w:ascii="Tahoma" w:hAnsi="Tahoma" w:cs="Tahoma"/>
        </w:rPr>
      </w:pPr>
    </w:p>
    <w:p w14:paraId="1A69B45F" w14:textId="77777777" w:rsidR="00BA060C" w:rsidRDefault="00BA060C" w:rsidP="00B41C02">
      <w:pPr>
        <w:jc w:val="both"/>
        <w:rPr>
          <w:rFonts w:ascii="Tahoma" w:hAnsi="Tahoma" w:cs="Tahoma"/>
        </w:rPr>
      </w:pPr>
    </w:p>
    <w:p w14:paraId="0A1AD743" w14:textId="77777777" w:rsidR="00BA060C" w:rsidRDefault="00BA060C" w:rsidP="00B41C02">
      <w:pPr>
        <w:jc w:val="both"/>
        <w:rPr>
          <w:rFonts w:ascii="Tahoma" w:hAnsi="Tahoma" w:cs="Tahoma"/>
        </w:rPr>
      </w:pPr>
    </w:p>
    <w:p w14:paraId="53AA9186" w14:textId="64396D16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465BFABE" w:rsidR="00583BC8" w:rsidRDefault="00157E51" w:rsidP="00B41C02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4D6CA1FF" wp14:editId="3A695FEF">
            <wp:extent cx="5760720" cy="4320540"/>
            <wp:effectExtent l="0" t="0" r="0" b="3810"/>
            <wp:docPr id="106496229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283F2F2C" w:rsidR="00163C46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DD6FA9">
        <w:rPr>
          <w:rFonts w:ascii="Tahoma" w:hAnsi="Tahoma" w:cs="Tahoma"/>
        </w:rPr>
        <w:t xml:space="preserve">e court terme reste baissier mais une poursuite de sa progression devrait lui permettre de changer </w:t>
      </w:r>
      <w:r w:rsidR="003448EF">
        <w:rPr>
          <w:rFonts w:ascii="Tahoma" w:hAnsi="Tahoma" w:cs="Tahoma"/>
        </w:rPr>
        <w:t>d’</w:t>
      </w:r>
      <w:r w:rsidR="00DD6FA9">
        <w:rPr>
          <w:rFonts w:ascii="Tahoma" w:hAnsi="Tahoma" w:cs="Tahoma"/>
        </w:rPr>
        <w:t>environnement.</w:t>
      </w:r>
    </w:p>
    <w:p w14:paraId="2DEFE843" w14:textId="21B03023" w:rsidR="00DD6FA9" w:rsidRDefault="00DD6FA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dépassement du plat de KS donnera la possibilité à l’indice de venir tester son nuage. Ce dernier sera compris entre 5242</w:t>
      </w:r>
      <w:r w:rsidR="003448EF">
        <w:rPr>
          <w:rFonts w:ascii="Tahoma" w:hAnsi="Tahoma" w:cs="Tahoma"/>
        </w:rPr>
        <w:t xml:space="preserve"> (SSB) </w:t>
      </w:r>
      <w:r>
        <w:rPr>
          <w:rFonts w:ascii="Tahoma" w:hAnsi="Tahoma" w:cs="Tahoma"/>
        </w:rPr>
        <w:t>et 5418</w:t>
      </w:r>
      <w:r w:rsidR="003448EF">
        <w:rPr>
          <w:rFonts w:ascii="Tahoma" w:hAnsi="Tahoma" w:cs="Tahoma"/>
        </w:rPr>
        <w:t xml:space="preserve"> (SSA)</w:t>
      </w:r>
      <w:r>
        <w:rPr>
          <w:rFonts w:ascii="Tahoma" w:hAnsi="Tahoma" w:cs="Tahoma"/>
        </w:rPr>
        <w:t>.</w:t>
      </w:r>
    </w:p>
    <w:p w14:paraId="6A143D3F" w14:textId="77777777" w:rsidR="001345B4" w:rsidRDefault="00B0391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 échec de dépassement pourrait ramener le marché </w:t>
      </w:r>
      <w:r w:rsidR="008D59D0">
        <w:rPr>
          <w:rFonts w:ascii="Tahoma" w:hAnsi="Tahoma" w:cs="Tahoma"/>
        </w:rPr>
        <w:t>en direction du</w:t>
      </w:r>
      <w:r>
        <w:rPr>
          <w:rFonts w:ascii="Tahoma" w:hAnsi="Tahoma" w:cs="Tahoma"/>
        </w:rPr>
        <w:t xml:space="preserve"> plat de KS de 5027.</w:t>
      </w:r>
    </w:p>
    <w:p w14:paraId="17B1592A" w14:textId="6BBA6DD4" w:rsidR="008D59D0" w:rsidRDefault="008D59D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1345B4">
        <w:rPr>
          <w:rFonts w:ascii="Tahoma" w:hAnsi="Tahoma" w:cs="Tahoma"/>
        </w:rPr>
        <w:t>L</w:t>
      </w:r>
      <w:r>
        <w:rPr>
          <w:rFonts w:ascii="Tahoma" w:hAnsi="Tahoma" w:cs="Tahoma"/>
        </w:rPr>
        <w:t>a TS trop éloignée des prix laisse peu de place à un dépassement du nuage.</w:t>
      </w:r>
    </w:p>
    <w:p w14:paraId="5C45FA14" w14:textId="4CF89344" w:rsidR="00763B72" w:rsidRDefault="00763B72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réduction de la taille des deux dernières bougies </w:t>
      </w:r>
      <w:r w:rsidR="001345B4">
        <w:rPr>
          <w:rFonts w:ascii="Tahoma" w:hAnsi="Tahoma" w:cs="Tahoma"/>
        </w:rPr>
        <w:t xml:space="preserve">quant à elle </w:t>
      </w:r>
      <w:r>
        <w:rPr>
          <w:rFonts w:ascii="Tahoma" w:hAnsi="Tahoma" w:cs="Tahoma"/>
        </w:rPr>
        <w:t>montre une perte de dynamisme d</w:t>
      </w:r>
      <w:r w:rsidR="001345B4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la  hausse des cours. Cette situation est favorable à une correction.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7ED1319D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7D69C7">
        <w:rPr>
          <w:rFonts w:ascii="Tahoma" w:hAnsi="Tahoma" w:cs="Tahoma"/>
        </w:rPr>
        <w:t xml:space="preserve"> </w:t>
      </w:r>
      <w:r w:rsidR="001345B4">
        <w:rPr>
          <w:rFonts w:ascii="Tahoma" w:hAnsi="Tahoma" w:cs="Tahoma"/>
        </w:rPr>
        <w:t>C</w:t>
      </w:r>
      <w:r w:rsidR="007D69C7">
        <w:rPr>
          <w:rFonts w:ascii="Tahoma" w:hAnsi="Tahoma" w:cs="Tahoma"/>
        </w:rPr>
        <w:t>orrection des prix envisagée tant que l’indice se maintiendra sous la zone de résistance comprise entre 5242 et 5418.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2F6A5EB3" w14:textId="77777777" w:rsidR="007D69C7" w:rsidRDefault="007D69C7" w:rsidP="00041E45">
      <w:pPr>
        <w:jc w:val="both"/>
        <w:rPr>
          <w:rFonts w:ascii="Tahoma" w:hAnsi="Tahoma" w:cs="Tahoma"/>
        </w:rPr>
      </w:pPr>
    </w:p>
    <w:p w14:paraId="409BF9BA" w14:textId="77777777" w:rsidR="007D69C7" w:rsidRDefault="007D69C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3A6C"/>
    <w:rsid w:val="0002580A"/>
    <w:rsid w:val="00041E45"/>
    <w:rsid w:val="00050011"/>
    <w:rsid w:val="000524C5"/>
    <w:rsid w:val="000556C3"/>
    <w:rsid w:val="000833FB"/>
    <w:rsid w:val="00092058"/>
    <w:rsid w:val="000B7DFC"/>
    <w:rsid w:val="000D4ED3"/>
    <w:rsid w:val="001018AD"/>
    <w:rsid w:val="00105B4E"/>
    <w:rsid w:val="001345B4"/>
    <w:rsid w:val="00134AFA"/>
    <w:rsid w:val="0014687D"/>
    <w:rsid w:val="0015581D"/>
    <w:rsid w:val="00157E51"/>
    <w:rsid w:val="00163C46"/>
    <w:rsid w:val="001705F4"/>
    <w:rsid w:val="00190995"/>
    <w:rsid w:val="001D474B"/>
    <w:rsid w:val="001F650A"/>
    <w:rsid w:val="002003AD"/>
    <w:rsid w:val="002421FE"/>
    <w:rsid w:val="00251BFD"/>
    <w:rsid w:val="00262E25"/>
    <w:rsid w:val="00263ED0"/>
    <w:rsid w:val="002A1F8E"/>
    <w:rsid w:val="002B5CB1"/>
    <w:rsid w:val="002C0A31"/>
    <w:rsid w:val="002F54B0"/>
    <w:rsid w:val="0030643B"/>
    <w:rsid w:val="00311057"/>
    <w:rsid w:val="00337611"/>
    <w:rsid w:val="00340FD9"/>
    <w:rsid w:val="003448EF"/>
    <w:rsid w:val="00352DD9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5F183E"/>
    <w:rsid w:val="00654380"/>
    <w:rsid w:val="006E32BB"/>
    <w:rsid w:val="00723F77"/>
    <w:rsid w:val="00744696"/>
    <w:rsid w:val="00763B72"/>
    <w:rsid w:val="00772067"/>
    <w:rsid w:val="0077545D"/>
    <w:rsid w:val="007A0E6C"/>
    <w:rsid w:val="007B661D"/>
    <w:rsid w:val="007D19FF"/>
    <w:rsid w:val="007D2085"/>
    <w:rsid w:val="007D69C7"/>
    <w:rsid w:val="0083454A"/>
    <w:rsid w:val="00835AC6"/>
    <w:rsid w:val="00837B38"/>
    <w:rsid w:val="00886BE1"/>
    <w:rsid w:val="00896554"/>
    <w:rsid w:val="008A7407"/>
    <w:rsid w:val="008D055C"/>
    <w:rsid w:val="008D59D0"/>
    <w:rsid w:val="008F10C2"/>
    <w:rsid w:val="00902D2F"/>
    <w:rsid w:val="00961FDF"/>
    <w:rsid w:val="00965C7E"/>
    <w:rsid w:val="00983B7D"/>
    <w:rsid w:val="009A37C2"/>
    <w:rsid w:val="009F3AB8"/>
    <w:rsid w:val="00A11606"/>
    <w:rsid w:val="00A6401C"/>
    <w:rsid w:val="00A81AB7"/>
    <w:rsid w:val="00AE7F3B"/>
    <w:rsid w:val="00B0391D"/>
    <w:rsid w:val="00B34260"/>
    <w:rsid w:val="00B41C02"/>
    <w:rsid w:val="00B50E38"/>
    <w:rsid w:val="00B554B8"/>
    <w:rsid w:val="00B64EE0"/>
    <w:rsid w:val="00B96166"/>
    <w:rsid w:val="00BA060C"/>
    <w:rsid w:val="00BB0E32"/>
    <w:rsid w:val="00BB6D9D"/>
    <w:rsid w:val="00BC77A5"/>
    <w:rsid w:val="00BD3FC1"/>
    <w:rsid w:val="00C17ED7"/>
    <w:rsid w:val="00C2356E"/>
    <w:rsid w:val="00C41F15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D6FA9"/>
    <w:rsid w:val="00DE5444"/>
    <w:rsid w:val="00DF072F"/>
    <w:rsid w:val="00E32014"/>
    <w:rsid w:val="00EB58BA"/>
    <w:rsid w:val="00F04A6E"/>
    <w:rsid w:val="00F04DEF"/>
    <w:rsid w:val="00F07B07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3</Pages>
  <Words>378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2025-04-27T08:48:00Z</dcterms:modified>
</cp:coreProperties>
</file>