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3B69D22F" w:rsidR="00902D2F" w:rsidRDefault="00E01B57" w:rsidP="00B41C02">
      <w:pPr>
        <w:jc w:val="both"/>
        <w:rPr>
          <w:rFonts w:ascii="Tahoma" w:hAnsi="Tahoma" w:cs="Tahoma"/>
        </w:rPr>
      </w:pPr>
      <w:r>
        <w:rPr>
          <w:noProof/>
        </w:rPr>
        <w:drawing>
          <wp:inline distT="0" distB="0" distL="0" distR="0" wp14:anchorId="3F50ED1A" wp14:editId="775D7FDD">
            <wp:extent cx="5760720" cy="4320540"/>
            <wp:effectExtent l="0" t="0" r="0" b="3810"/>
            <wp:docPr id="126906853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5B16AE1" w14:textId="00F11C97" w:rsidR="00583BC8" w:rsidRDefault="00E10AAD" w:rsidP="00B41C02">
      <w:pPr>
        <w:jc w:val="both"/>
        <w:rPr>
          <w:rFonts w:ascii="Tahoma" w:hAnsi="Tahoma" w:cs="Tahoma"/>
        </w:rPr>
      </w:pPr>
      <w:r>
        <w:rPr>
          <w:rFonts w:ascii="Tahoma" w:hAnsi="Tahoma" w:cs="Tahoma"/>
        </w:rPr>
        <w:t xml:space="preserve">Nouvelle progression des prix cette semaine avec un indice qui </w:t>
      </w:r>
      <w:r w:rsidR="00F44558">
        <w:rPr>
          <w:rFonts w:ascii="Tahoma" w:hAnsi="Tahoma" w:cs="Tahoma"/>
        </w:rPr>
        <w:t>clôture</w:t>
      </w:r>
      <w:r>
        <w:rPr>
          <w:rFonts w:ascii="Tahoma" w:hAnsi="Tahoma" w:cs="Tahoma"/>
        </w:rPr>
        <w:t xml:space="preserve"> sur 5427. </w:t>
      </w:r>
    </w:p>
    <w:p w14:paraId="556B713A" w14:textId="293BBA54" w:rsidR="00E10AAD" w:rsidRDefault="00E10AAD" w:rsidP="00B41C02">
      <w:pPr>
        <w:jc w:val="both"/>
        <w:rPr>
          <w:rFonts w:ascii="Tahoma" w:hAnsi="Tahoma" w:cs="Tahoma"/>
        </w:rPr>
      </w:pPr>
      <w:r>
        <w:rPr>
          <w:rFonts w:ascii="Tahoma" w:hAnsi="Tahoma" w:cs="Tahoma"/>
        </w:rPr>
        <w:t>Le contexte haussier de moyen terme n’a pas été remis en question</w:t>
      </w:r>
      <w:r w:rsidR="00D2367F">
        <w:rPr>
          <w:rFonts w:ascii="Tahoma" w:hAnsi="Tahoma" w:cs="Tahoma"/>
        </w:rPr>
        <w:t>.</w:t>
      </w:r>
      <w:r>
        <w:rPr>
          <w:rFonts w:ascii="Tahoma" w:hAnsi="Tahoma" w:cs="Tahoma"/>
        </w:rPr>
        <w:t xml:space="preserve"> </w:t>
      </w:r>
      <w:r w:rsidR="00D2367F">
        <w:rPr>
          <w:rFonts w:ascii="Tahoma" w:hAnsi="Tahoma" w:cs="Tahoma"/>
        </w:rPr>
        <w:t>On constate que</w:t>
      </w:r>
      <w:r>
        <w:rPr>
          <w:rFonts w:ascii="Tahoma" w:hAnsi="Tahoma" w:cs="Tahoma"/>
        </w:rPr>
        <w:t xml:space="preserve"> les prix et la LS évolue</w:t>
      </w:r>
      <w:r w:rsidR="00D2367F">
        <w:rPr>
          <w:rFonts w:ascii="Tahoma" w:hAnsi="Tahoma" w:cs="Tahoma"/>
        </w:rPr>
        <w:t>nt</w:t>
      </w:r>
      <w:r>
        <w:rPr>
          <w:rFonts w:ascii="Tahoma" w:hAnsi="Tahoma" w:cs="Tahoma"/>
        </w:rPr>
        <w:t xml:space="preserve"> sans contrai</w:t>
      </w:r>
      <w:r w:rsidR="00D2367F">
        <w:rPr>
          <w:rFonts w:ascii="Tahoma" w:hAnsi="Tahoma" w:cs="Tahoma"/>
        </w:rPr>
        <w:t>n</w:t>
      </w:r>
      <w:r>
        <w:rPr>
          <w:rFonts w:ascii="Tahoma" w:hAnsi="Tahoma" w:cs="Tahoma"/>
        </w:rPr>
        <w:t xml:space="preserve">te </w:t>
      </w:r>
      <w:r w:rsidR="00F44558">
        <w:rPr>
          <w:rFonts w:ascii="Tahoma" w:hAnsi="Tahoma" w:cs="Tahoma"/>
        </w:rPr>
        <w:t>au-dessus</w:t>
      </w:r>
      <w:r>
        <w:rPr>
          <w:rFonts w:ascii="Tahoma" w:hAnsi="Tahoma" w:cs="Tahoma"/>
        </w:rPr>
        <w:t xml:space="preserve"> de leur nuage respectif.</w:t>
      </w:r>
    </w:p>
    <w:p w14:paraId="155C7CAA" w14:textId="5B901E97" w:rsidR="00D2367F" w:rsidRDefault="00197FB0" w:rsidP="00B41C02">
      <w:pPr>
        <w:jc w:val="both"/>
        <w:rPr>
          <w:rFonts w:ascii="Tahoma" w:hAnsi="Tahoma" w:cs="Tahoma"/>
        </w:rPr>
      </w:pPr>
      <w:r>
        <w:rPr>
          <w:rFonts w:ascii="Tahoma" w:hAnsi="Tahoma" w:cs="Tahoma"/>
        </w:rPr>
        <w:t>Pour autant, les prix sont éloignés de la TS. L’écart entre l’indice et cette courbe ne permet pas d’envisager une rupture de la résistance de 5544 dans l’éventualité d’une poursuite de la hausse.</w:t>
      </w:r>
      <w:r w:rsidR="00325480">
        <w:rPr>
          <w:rFonts w:ascii="Tahoma" w:hAnsi="Tahoma" w:cs="Tahoma"/>
        </w:rPr>
        <w:t xml:space="preserve"> La position prix / TS indique que le marché est suracheté. </w:t>
      </w:r>
    </w:p>
    <w:p w14:paraId="3D2C59B3" w14:textId="6C821456" w:rsidR="00325480" w:rsidRDefault="00325480" w:rsidP="00B41C02">
      <w:pPr>
        <w:jc w:val="both"/>
        <w:rPr>
          <w:rFonts w:ascii="Tahoma" w:hAnsi="Tahoma" w:cs="Tahoma"/>
        </w:rPr>
      </w:pPr>
      <w:r>
        <w:rPr>
          <w:rFonts w:ascii="Tahoma" w:hAnsi="Tahoma" w:cs="Tahoma"/>
        </w:rPr>
        <w:t>La KS qui s’est aplatie sur 5054 gardera la même configuration tant que le marché évoluera entre 4540 et 55</w:t>
      </w:r>
      <w:r w:rsidR="00893440">
        <w:rPr>
          <w:rFonts w:ascii="Tahoma" w:hAnsi="Tahoma" w:cs="Tahoma"/>
        </w:rPr>
        <w:t>6</w:t>
      </w:r>
      <w:r>
        <w:rPr>
          <w:rFonts w:ascii="Tahoma" w:hAnsi="Tahoma" w:cs="Tahoma"/>
        </w:rPr>
        <w:t>8</w:t>
      </w:r>
      <w:r w:rsidR="00413ADB">
        <w:rPr>
          <w:rFonts w:ascii="Tahoma" w:hAnsi="Tahoma" w:cs="Tahoma"/>
        </w:rPr>
        <w:t>. Là aussi, il est impensable (mais pas impossible comme toujours avec les marchés) que la résistance de 5544 soit dépass</w:t>
      </w:r>
      <w:r w:rsidR="00893440">
        <w:rPr>
          <w:rFonts w:ascii="Tahoma" w:hAnsi="Tahoma" w:cs="Tahoma"/>
        </w:rPr>
        <w:t>ée</w:t>
      </w:r>
      <w:r w:rsidR="00413ADB">
        <w:rPr>
          <w:rFonts w:ascii="Tahoma" w:hAnsi="Tahoma" w:cs="Tahoma"/>
        </w:rPr>
        <w:t xml:space="preserve">. En théorie, le plat de KS influe sur la progression des cours et joue le </w:t>
      </w:r>
      <w:r w:rsidR="00F44558">
        <w:rPr>
          <w:rFonts w:ascii="Tahoma" w:hAnsi="Tahoma" w:cs="Tahoma"/>
        </w:rPr>
        <w:t>rôle</w:t>
      </w:r>
      <w:r w:rsidR="00413ADB">
        <w:rPr>
          <w:rFonts w:ascii="Tahoma" w:hAnsi="Tahoma" w:cs="Tahoma"/>
        </w:rPr>
        <w:t xml:space="preserve"> de force de rappel.</w:t>
      </w:r>
    </w:p>
    <w:p w14:paraId="1D921F7E" w14:textId="71035ED5" w:rsidR="00413ADB" w:rsidRDefault="00A21CFA" w:rsidP="00B41C02">
      <w:pPr>
        <w:jc w:val="both"/>
        <w:rPr>
          <w:rFonts w:ascii="Tahoma" w:hAnsi="Tahoma" w:cs="Tahoma"/>
        </w:rPr>
      </w:pPr>
      <w:r>
        <w:rPr>
          <w:rFonts w:ascii="Tahoma" w:hAnsi="Tahoma" w:cs="Tahoma"/>
        </w:rPr>
        <w:t>Dans ce contexte sous 5</w:t>
      </w:r>
      <w:r w:rsidR="00893440">
        <w:rPr>
          <w:rFonts w:ascii="Tahoma" w:hAnsi="Tahoma" w:cs="Tahoma"/>
        </w:rPr>
        <w:t>5</w:t>
      </w:r>
      <w:r>
        <w:rPr>
          <w:rFonts w:ascii="Tahoma" w:hAnsi="Tahoma" w:cs="Tahoma"/>
        </w:rPr>
        <w:t xml:space="preserve">68, un retour sur la KS sera envisageable. Il permettra à l’indice de revenir sur sa TS, condition favorable à la venue de nouveaux hauts. </w:t>
      </w:r>
    </w:p>
    <w:p w14:paraId="3ACD5932" w14:textId="77777777" w:rsidR="00E10AAD" w:rsidRDefault="00E10AAD" w:rsidP="00B41C02">
      <w:pPr>
        <w:jc w:val="both"/>
        <w:rPr>
          <w:rFonts w:ascii="Tahoma" w:hAnsi="Tahoma" w:cs="Tahoma"/>
        </w:rPr>
      </w:pP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1675B8DF" w14:textId="2271B56C" w:rsidR="00583BC8" w:rsidRDefault="00E01B57" w:rsidP="00B41C02">
      <w:pPr>
        <w:jc w:val="both"/>
        <w:rPr>
          <w:rFonts w:ascii="Tahoma" w:hAnsi="Tahoma" w:cs="Tahoma"/>
        </w:rPr>
      </w:pPr>
      <w:r>
        <w:rPr>
          <w:noProof/>
        </w:rPr>
        <w:drawing>
          <wp:inline distT="0" distB="0" distL="0" distR="0" wp14:anchorId="7B7D58F2" wp14:editId="34C3AAB1">
            <wp:extent cx="5760720" cy="4320540"/>
            <wp:effectExtent l="0" t="0" r="0" b="3810"/>
            <wp:docPr id="86184606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28916912" w:rsidR="00163C46" w:rsidRDefault="00352DD9" w:rsidP="00263ED0">
      <w:pPr>
        <w:jc w:val="both"/>
        <w:rPr>
          <w:rFonts w:ascii="Tahoma" w:hAnsi="Tahoma" w:cs="Tahoma"/>
        </w:rPr>
      </w:pPr>
      <w:r>
        <w:rPr>
          <w:rFonts w:ascii="Tahoma" w:hAnsi="Tahoma" w:cs="Tahoma"/>
        </w:rPr>
        <w:t xml:space="preserve">La </w:t>
      </w:r>
      <w:r w:rsidR="00FE396A">
        <w:rPr>
          <w:rFonts w:ascii="Tahoma" w:hAnsi="Tahoma" w:cs="Tahoma"/>
        </w:rPr>
        <w:t xml:space="preserve">personnalité d’une bougie est fonction des bougies qui la compose. La dernière bougie hebdomadaire est blanche, d’amplitude acceptable, donc positive. Mais lorsque l’on y regarde de plus </w:t>
      </w:r>
      <w:r w:rsidR="00F44558">
        <w:rPr>
          <w:rFonts w:ascii="Tahoma" w:hAnsi="Tahoma" w:cs="Tahoma"/>
        </w:rPr>
        <w:t>près</w:t>
      </w:r>
      <w:r w:rsidR="00FE396A">
        <w:rPr>
          <w:rFonts w:ascii="Tahoma" w:hAnsi="Tahoma" w:cs="Tahoma"/>
        </w:rPr>
        <w:t xml:space="preserve">, elle est composée de petites chandelles </w:t>
      </w:r>
      <w:r w:rsidR="00893440">
        <w:rPr>
          <w:rFonts w:ascii="Tahoma" w:hAnsi="Tahoma" w:cs="Tahoma"/>
        </w:rPr>
        <w:t xml:space="preserve">(Daily) </w:t>
      </w:r>
      <w:r w:rsidR="00FE396A">
        <w:rPr>
          <w:rFonts w:ascii="Tahoma" w:hAnsi="Tahoma" w:cs="Tahoma"/>
        </w:rPr>
        <w:t xml:space="preserve">qui </w:t>
      </w:r>
      <w:r w:rsidR="00C63CE1">
        <w:rPr>
          <w:rFonts w:ascii="Tahoma" w:hAnsi="Tahoma" w:cs="Tahoma"/>
        </w:rPr>
        <w:t>manquent de</w:t>
      </w:r>
      <w:r w:rsidR="00FE396A">
        <w:rPr>
          <w:rFonts w:ascii="Tahoma" w:hAnsi="Tahoma" w:cs="Tahoma"/>
        </w:rPr>
        <w:t xml:space="preserve"> conviction.</w:t>
      </w:r>
    </w:p>
    <w:p w14:paraId="30F3E0D6" w14:textId="52CF13F6" w:rsidR="00BB235B" w:rsidRDefault="00BB235B" w:rsidP="00263ED0">
      <w:pPr>
        <w:jc w:val="both"/>
        <w:rPr>
          <w:rFonts w:ascii="Tahoma" w:hAnsi="Tahoma" w:cs="Tahoma"/>
        </w:rPr>
      </w:pPr>
      <w:r>
        <w:rPr>
          <w:rFonts w:ascii="Tahoma" w:hAnsi="Tahoma" w:cs="Tahoma"/>
        </w:rPr>
        <w:t>Malgré tout, les prix et la LS viennent de s’affranchir de la résistance de 5425 qui matérialise la partie haute d’un nuage passé.</w:t>
      </w:r>
    </w:p>
    <w:p w14:paraId="3530DE0F" w14:textId="40CDD02B" w:rsidR="00D169C3" w:rsidRDefault="00BB235B" w:rsidP="00263ED0">
      <w:pPr>
        <w:jc w:val="both"/>
        <w:rPr>
          <w:rFonts w:ascii="Tahoma" w:hAnsi="Tahoma" w:cs="Tahoma"/>
        </w:rPr>
      </w:pPr>
      <w:r>
        <w:rPr>
          <w:rFonts w:ascii="Tahoma" w:hAnsi="Tahoma" w:cs="Tahoma"/>
        </w:rPr>
        <w:t xml:space="preserve">Dans ce contexte, une poursuite de l’optimisme des investisseurs se traduira par un maintien des cours </w:t>
      </w:r>
      <w:r w:rsidR="00F44558">
        <w:rPr>
          <w:rFonts w:ascii="Tahoma" w:hAnsi="Tahoma" w:cs="Tahoma"/>
        </w:rPr>
        <w:t>au-dessus</w:t>
      </w:r>
      <w:r>
        <w:rPr>
          <w:rFonts w:ascii="Tahoma" w:hAnsi="Tahoma" w:cs="Tahoma"/>
        </w:rPr>
        <w:t xml:space="preserve"> de 5425 </w:t>
      </w:r>
      <w:r w:rsidR="00101E28">
        <w:rPr>
          <w:rFonts w:ascii="Tahoma" w:hAnsi="Tahoma" w:cs="Tahoma"/>
        </w:rPr>
        <w:t>et une progression vers la zone de résistance de 5544-5568.</w:t>
      </w:r>
      <w:r w:rsidR="00D169C3">
        <w:rPr>
          <w:rFonts w:ascii="Tahoma" w:hAnsi="Tahoma" w:cs="Tahoma"/>
        </w:rPr>
        <w:t xml:space="preserve"> </w:t>
      </w:r>
    </w:p>
    <w:p w14:paraId="67B8B186" w14:textId="0C0D4C7D" w:rsidR="00467005" w:rsidRDefault="00D169C3" w:rsidP="00041E45">
      <w:pPr>
        <w:jc w:val="both"/>
        <w:rPr>
          <w:rFonts w:ascii="Tahoma" w:hAnsi="Tahoma" w:cs="Tahoma"/>
        </w:rPr>
      </w:pPr>
      <w:r>
        <w:rPr>
          <w:rFonts w:ascii="Tahoma" w:hAnsi="Tahoma" w:cs="Tahoma"/>
        </w:rPr>
        <w:t>Cette hausse des prix</w:t>
      </w:r>
      <w:r w:rsidR="00893440">
        <w:rPr>
          <w:rFonts w:ascii="Tahoma" w:hAnsi="Tahoma" w:cs="Tahoma"/>
        </w:rPr>
        <w:t>,</w:t>
      </w:r>
      <w:r>
        <w:rPr>
          <w:rFonts w:ascii="Tahoma" w:hAnsi="Tahoma" w:cs="Tahoma"/>
        </w:rPr>
        <w:t xml:space="preserve"> conditionnée par un maintien </w:t>
      </w:r>
      <w:r w:rsidR="00F44558">
        <w:rPr>
          <w:rFonts w:ascii="Tahoma" w:hAnsi="Tahoma" w:cs="Tahoma"/>
        </w:rPr>
        <w:t>au-dessus</w:t>
      </w:r>
      <w:r>
        <w:rPr>
          <w:rFonts w:ascii="Tahoma" w:hAnsi="Tahoma" w:cs="Tahoma"/>
        </w:rPr>
        <w:t xml:space="preserve"> de 5425</w:t>
      </w:r>
      <w:r w:rsidR="00893440">
        <w:rPr>
          <w:rFonts w:ascii="Tahoma" w:hAnsi="Tahoma" w:cs="Tahoma"/>
        </w:rPr>
        <w:t>,</w:t>
      </w:r>
      <w:r>
        <w:rPr>
          <w:rFonts w:ascii="Tahoma" w:hAnsi="Tahoma" w:cs="Tahoma"/>
        </w:rPr>
        <w:t xml:space="preserve"> a peu de chance de se traduire par une cassure de zone de résistance. Le marché est actuellement suracheté et les chandelles montre</w:t>
      </w:r>
      <w:r w:rsidR="00893440">
        <w:rPr>
          <w:rFonts w:ascii="Tahoma" w:hAnsi="Tahoma" w:cs="Tahoma"/>
        </w:rPr>
        <w:t>nt</w:t>
      </w:r>
      <w:r>
        <w:rPr>
          <w:rFonts w:ascii="Tahoma" w:hAnsi="Tahoma" w:cs="Tahoma"/>
        </w:rPr>
        <w:t xml:space="preserve"> l’</w:t>
      </w:r>
      <w:r w:rsidR="00F44558">
        <w:rPr>
          <w:rFonts w:ascii="Tahoma" w:hAnsi="Tahoma" w:cs="Tahoma"/>
        </w:rPr>
        <w:t>absence</w:t>
      </w:r>
      <w:r>
        <w:rPr>
          <w:rFonts w:ascii="Tahoma" w:hAnsi="Tahoma" w:cs="Tahoma"/>
        </w:rPr>
        <w:t xml:space="preserve"> de conviction forte.</w:t>
      </w:r>
    </w:p>
    <w:p w14:paraId="10BB9766" w14:textId="77777777" w:rsidR="00723F77" w:rsidRDefault="00723F77" w:rsidP="00041E45">
      <w:pPr>
        <w:jc w:val="both"/>
        <w:rPr>
          <w:rFonts w:ascii="Tahoma" w:hAnsi="Tahoma" w:cs="Tahoma"/>
        </w:rPr>
      </w:pPr>
    </w:p>
    <w:p w14:paraId="655E9AC0" w14:textId="1BA2B654"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0C023D">
        <w:rPr>
          <w:rFonts w:ascii="Tahoma" w:hAnsi="Tahoma" w:cs="Tahoma"/>
        </w:rPr>
        <w:t xml:space="preserve"> Poursuite de la hausse en maintien des prix </w:t>
      </w:r>
      <w:r w:rsidR="00F44558">
        <w:rPr>
          <w:rFonts w:ascii="Tahoma" w:hAnsi="Tahoma" w:cs="Tahoma"/>
        </w:rPr>
        <w:t>au-dessus</w:t>
      </w:r>
      <w:r w:rsidR="000C023D">
        <w:rPr>
          <w:rFonts w:ascii="Tahoma" w:hAnsi="Tahoma" w:cs="Tahoma"/>
        </w:rPr>
        <w:t xml:space="preserve"> de 5425. </w:t>
      </w:r>
      <w:r w:rsidR="00893440">
        <w:rPr>
          <w:rFonts w:ascii="Tahoma" w:hAnsi="Tahoma" w:cs="Tahoma"/>
        </w:rPr>
        <w:t>L</w:t>
      </w:r>
      <w:r w:rsidR="000C023D">
        <w:rPr>
          <w:rFonts w:ascii="Tahoma" w:hAnsi="Tahoma" w:cs="Tahoma"/>
        </w:rPr>
        <w:t>e marché est suracheté. Il a besoin de corriger. Cela laisse peut de place à une cassure des hauts récents de 5544, voir 5568.</w:t>
      </w:r>
    </w:p>
    <w:p w14:paraId="7ECBFD62" w14:textId="381E9F64" w:rsidR="00723F77" w:rsidRDefault="00723F77"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C023D"/>
    <w:rsid w:val="000D4ED3"/>
    <w:rsid w:val="001018AD"/>
    <w:rsid w:val="00101E28"/>
    <w:rsid w:val="00105B4E"/>
    <w:rsid w:val="00134AFA"/>
    <w:rsid w:val="0014687D"/>
    <w:rsid w:val="0015581D"/>
    <w:rsid w:val="00163C46"/>
    <w:rsid w:val="001705F4"/>
    <w:rsid w:val="00190995"/>
    <w:rsid w:val="00197FB0"/>
    <w:rsid w:val="001D474B"/>
    <w:rsid w:val="001F650A"/>
    <w:rsid w:val="002003AD"/>
    <w:rsid w:val="002421FE"/>
    <w:rsid w:val="00262E25"/>
    <w:rsid w:val="00263ED0"/>
    <w:rsid w:val="002A1F8E"/>
    <w:rsid w:val="002B5CB1"/>
    <w:rsid w:val="002C0A31"/>
    <w:rsid w:val="002F54B0"/>
    <w:rsid w:val="0030643B"/>
    <w:rsid w:val="00325480"/>
    <w:rsid w:val="00337611"/>
    <w:rsid w:val="00340FD9"/>
    <w:rsid w:val="00352DD9"/>
    <w:rsid w:val="003C2E49"/>
    <w:rsid w:val="0040171B"/>
    <w:rsid w:val="00413ADB"/>
    <w:rsid w:val="00467005"/>
    <w:rsid w:val="004A5154"/>
    <w:rsid w:val="00531928"/>
    <w:rsid w:val="005440A4"/>
    <w:rsid w:val="00546A5A"/>
    <w:rsid w:val="00566580"/>
    <w:rsid w:val="00567AF3"/>
    <w:rsid w:val="00583BC8"/>
    <w:rsid w:val="00654380"/>
    <w:rsid w:val="006E32BB"/>
    <w:rsid w:val="00723F77"/>
    <w:rsid w:val="00744696"/>
    <w:rsid w:val="00772067"/>
    <w:rsid w:val="0077545D"/>
    <w:rsid w:val="00780872"/>
    <w:rsid w:val="007A0E6C"/>
    <w:rsid w:val="007B661D"/>
    <w:rsid w:val="007D19FF"/>
    <w:rsid w:val="007D2085"/>
    <w:rsid w:val="0083454A"/>
    <w:rsid w:val="00835AC6"/>
    <w:rsid w:val="00837B38"/>
    <w:rsid w:val="00893440"/>
    <w:rsid w:val="00896554"/>
    <w:rsid w:val="008A7407"/>
    <w:rsid w:val="008F10C2"/>
    <w:rsid w:val="00902D2F"/>
    <w:rsid w:val="00961FDF"/>
    <w:rsid w:val="00983B7D"/>
    <w:rsid w:val="009A37C2"/>
    <w:rsid w:val="009F3AB8"/>
    <w:rsid w:val="00A11606"/>
    <w:rsid w:val="00A21CFA"/>
    <w:rsid w:val="00A6401C"/>
    <w:rsid w:val="00A81AB7"/>
    <w:rsid w:val="00AE7F3B"/>
    <w:rsid w:val="00B32DAF"/>
    <w:rsid w:val="00B34260"/>
    <w:rsid w:val="00B41C02"/>
    <w:rsid w:val="00B50E38"/>
    <w:rsid w:val="00B554B8"/>
    <w:rsid w:val="00B64EE0"/>
    <w:rsid w:val="00BB0E32"/>
    <w:rsid w:val="00BB235B"/>
    <w:rsid w:val="00BB6D9D"/>
    <w:rsid w:val="00BC77A5"/>
    <w:rsid w:val="00BD3FC1"/>
    <w:rsid w:val="00C17ED7"/>
    <w:rsid w:val="00C41F15"/>
    <w:rsid w:val="00C63CE1"/>
    <w:rsid w:val="00C70171"/>
    <w:rsid w:val="00C70A68"/>
    <w:rsid w:val="00C82E98"/>
    <w:rsid w:val="00CC7C21"/>
    <w:rsid w:val="00CE0886"/>
    <w:rsid w:val="00CF2516"/>
    <w:rsid w:val="00CF6D63"/>
    <w:rsid w:val="00D169C3"/>
    <w:rsid w:val="00D2367F"/>
    <w:rsid w:val="00D23B28"/>
    <w:rsid w:val="00D46C8D"/>
    <w:rsid w:val="00DD5E9A"/>
    <w:rsid w:val="00DE5444"/>
    <w:rsid w:val="00DF072F"/>
    <w:rsid w:val="00E01B57"/>
    <w:rsid w:val="00E10AAD"/>
    <w:rsid w:val="00E32014"/>
    <w:rsid w:val="00EB58BA"/>
    <w:rsid w:val="00F04A6E"/>
    <w:rsid w:val="00F04DEF"/>
    <w:rsid w:val="00F31070"/>
    <w:rsid w:val="00F44558"/>
    <w:rsid w:val="00F53F10"/>
    <w:rsid w:val="00F636F8"/>
    <w:rsid w:val="00FA2C8E"/>
    <w:rsid w:val="00FC1860"/>
    <w:rsid w:val="00FC7EA5"/>
    <w:rsid w:val="00FD0B42"/>
    <w:rsid w:val="00FE396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557</TotalTime>
  <Pages>3</Pages>
  <Words>457</Words>
  <Characters>2517</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93</cp:revision>
  <dcterms:created xsi:type="dcterms:W3CDTF">2021-11-25T09:44:00Z</dcterms:created>
  <dcterms:modified xsi:type="dcterms:W3CDTF">2025-05-18T14:47:00Z</dcterms:modified>
</cp:coreProperties>
</file>