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CEC07B4" w:rsidR="00902D2F" w:rsidRDefault="00593746" w:rsidP="00B41C02">
      <w:pPr>
        <w:jc w:val="both"/>
        <w:rPr>
          <w:rFonts w:ascii="Tahoma" w:hAnsi="Tahoma" w:cs="Tahoma"/>
        </w:rPr>
      </w:pPr>
      <w:r>
        <w:rPr>
          <w:noProof/>
        </w:rPr>
        <w:drawing>
          <wp:inline distT="0" distB="0" distL="0" distR="0" wp14:anchorId="18018DCE" wp14:editId="2EEB5105">
            <wp:extent cx="5760720" cy="4320540"/>
            <wp:effectExtent l="0" t="0" r="0" b="3810"/>
            <wp:docPr id="40779253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88315BD" w14:textId="5A653C16" w:rsidR="00DD0423" w:rsidRDefault="00DD0423" w:rsidP="00B41C02">
      <w:pPr>
        <w:jc w:val="both"/>
        <w:rPr>
          <w:rFonts w:ascii="Tahoma" w:hAnsi="Tahoma" w:cs="Tahoma"/>
        </w:rPr>
      </w:pPr>
      <w:r>
        <w:rPr>
          <w:rFonts w:ascii="Tahoma" w:hAnsi="Tahoma" w:cs="Tahoma"/>
        </w:rPr>
        <w:t>Le</w:t>
      </w:r>
      <w:r>
        <w:rPr>
          <w:rFonts w:ascii="Tahoma" w:hAnsi="Tahoma" w:cs="Tahoma"/>
        </w:rPr>
        <w:t xml:space="preserve"> contrat continue d’évoluer entre 128.45 et 139.10. Le point d’équilibre de la zone de consolidation se situe sur 133.40. Sous ce point, la probabilité d’un retour des prix sur le support </w:t>
      </w:r>
      <w:r w:rsidR="00FA4552">
        <w:rPr>
          <w:rFonts w:ascii="Tahoma" w:hAnsi="Tahoma" w:cs="Tahoma"/>
        </w:rPr>
        <w:t>de 128.45 sera plus</w:t>
      </w:r>
      <w:r>
        <w:rPr>
          <w:rFonts w:ascii="Tahoma" w:hAnsi="Tahoma" w:cs="Tahoma"/>
        </w:rPr>
        <w:t xml:space="preserve"> importante</w:t>
      </w:r>
      <w:r>
        <w:rPr>
          <w:rFonts w:ascii="Tahoma" w:hAnsi="Tahoma" w:cs="Tahoma"/>
        </w:rPr>
        <w:t>.</w:t>
      </w:r>
    </w:p>
    <w:p w14:paraId="576203D7" w14:textId="1338E7E3" w:rsidR="00DD0423" w:rsidRDefault="00DD0423" w:rsidP="00B41C02">
      <w:pPr>
        <w:jc w:val="both"/>
        <w:rPr>
          <w:rFonts w:ascii="Tahoma" w:hAnsi="Tahoma" w:cs="Tahoma"/>
        </w:rPr>
      </w:pPr>
      <w:r>
        <w:rPr>
          <w:rFonts w:ascii="Tahoma" w:hAnsi="Tahoma" w:cs="Tahoma"/>
        </w:rPr>
        <w:t xml:space="preserve">Je ne développerai pas plus </w:t>
      </w:r>
      <w:r w:rsidR="005C5122">
        <w:rPr>
          <w:rFonts w:ascii="Tahoma" w:hAnsi="Tahoma" w:cs="Tahoma"/>
        </w:rPr>
        <w:t xml:space="preserve">longuement </w:t>
      </w:r>
      <w:r>
        <w:rPr>
          <w:rFonts w:ascii="Tahoma" w:hAnsi="Tahoma" w:cs="Tahoma"/>
        </w:rPr>
        <w:t>l’analyse en nuage car les lignes qui la compose ne sont pas per</w:t>
      </w:r>
      <w:r w:rsidR="0063796C">
        <w:rPr>
          <w:rFonts w:ascii="Tahoma" w:hAnsi="Tahoma" w:cs="Tahoma"/>
        </w:rPr>
        <w:t>t</w:t>
      </w:r>
      <w:r>
        <w:rPr>
          <w:rFonts w:ascii="Tahoma" w:hAnsi="Tahoma" w:cs="Tahoma"/>
        </w:rPr>
        <w:t>in</w:t>
      </w:r>
      <w:r w:rsidR="0063796C">
        <w:rPr>
          <w:rFonts w:ascii="Tahoma" w:hAnsi="Tahoma" w:cs="Tahoma"/>
        </w:rPr>
        <w:t>e</w:t>
      </w:r>
      <w:r>
        <w:rPr>
          <w:rFonts w:ascii="Tahoma" w:hAnsi="Tahoma" w:cs="Tahoma"/>
        </w:rPr>
        <w:t>nte</w:t>
      </w:r>
      <w:r w:rsidR="005C5122">
        <w:rPr>
          <w:rFonts w:ascii="Tahoma" w:hAnsi="Tahoma" w:cs="Tahoma"/>
        </w:rPr>
        <w:t>s</w:t>
      </w:r>
      <w:r>
        <w:rPr>
          <w:rFonts w:ascii="Tahoma" w:hAnsi="Tahoma" w:cs="Tahoma"/>
        </w:rPr>
        <w:t xml:space="preserve"> lorsque les prix consolident.</w:t>
      </w:r>
    </w:p>
    <w:p w14:paraId="225138EB" w14:textId="021F2543" w:rsidR="00DD0423" w:rsidRDefault="0063796C" w:rsidP="00B41C02">
      <w:pPr>
        <w:jc w:val="both"/>
        <w:rPr>
          <w:rFonts w:ascii="Tahoma" w:hAnsi="Tahoma" w:cs="Tahoma"/>
        </w:rPr>
      </w:pPr>
      <w:r>
        <w:rPr>
          <w:rFonts w:ascii="Tahoma" w:hAnsi="Tahoma" w:cs="Tahoma"/>
        </w:rPr>
        <w:t>Durant ces périodes sans tendance, l</w:t>
      </w:r>
      <w:r w:rsidR="00DD0423">
        <w:rPr>
          <w:rFonts w:ascii="Tahoma" w:hAnsi="Tahoma" w:cs="Tahoma"/>
        </w:rPr>
        <w:t>es chandeliers japonais permettent d’interpréter l’évolution des cours</w:t>
      </w:r>
      <w:r>
        <w:rPr>
          <w:rFonts w:ascii="Tahoma" w:hAnsi="Tahoma" w:cs="Tahoma"/>
        </w:rPr>
        <w:t xml:space="preserve">. Ainsi </w:t>
      </w:r>
      <w:r w:rsidR="00D21214">
        <w:rPr>
          <w:rFonts w:ascii="Tahoma" w:hAnsi="Tahoma" w:cs="Tahoma"/>
        </w:rPr>
        <w:t>la dernière chandelle</w:t>
      </w:r>
      <w:r>
        <w:rPr>
          <w:rFonts w:ascii="Tahoma" w:hAnsi="Tahoma" w:cs="Tahoma"/>
        </w:rPr>
        <w:t xml:space="preserve"> se rapp</w:t>
      </w:r>
      <w:r w:rsidR="00A729EE">
        <w:rPr>
          <w:rFonts w:ascii="Tahoma" w:hAnsi="Tahoma" w:cs="Tahoma"/>
        </w:rPr>
        <w:t>ro</w:t>
      </w:r>
      <w:r>
        <w:rPr>
          <w:rFonts w:ascii="Tahoma" w:hAnsi="Tahoma" w:cs="Tahoma"/>
        </w:rPr>
        <w:t>che par sa forme de la bougie qui l</w:t>
      </w:r>
      <w:r w:rsidR="00D21214">
        <w:rPr>
          <w:rFonts w:ascii="Tahoma" w:hAnsi="Tahoma" w:cs="Tahoma"/>
        </w:rPr>
        <w:t>a</w:t>
      </w:r>
      <w:r>
        <w:rPr>
          <w:rFonts w:ascii="Tahoma" w:hAnsi="Tahoma" w:cs="Tahoma"/>
        </w:rPr>
        <w:t xml:space="preserve"> </w:t>
      </w:r>
      <w:r w:rsidR="00EC3546">
        <w:rPr>
          <w:rFonts w:ascii="Tahoma" w:hAnsi="Tahoma" w:cs="Tahoma"/>
        </w:rPr>
        <w:t>précède</w:t>
      </w:r>
      <w:r>
        <w:rPr>
          <w:rFonts w:ascii="Tahoma" w:hAnsi="Tahoma" w:cs="Tahoma"/>
        </w:rPr>
        <w:t xml:space="preserve">. </w:t>
      </w:r>
      <w:r w:rsidR="00A729EE">
        <w:rPr>
          <w:rFonts w:ascii="Tahoma" w:hAnsi="Tahoma" w:cs="Tahoma"/>
        </w:rPr>
        <w:t xml:space="preserve">Elle permet de dire que le bas </w:t>
      </w:r>
      <w:r w:rsidR="007A2A28">
        <w:rPr>
          <w:rFonts w:ascii="Tahoma" w:hAnsi="Tahoma" w:cs="Tahoma"/>
        </w:rPr>
        <w:t>du chandelier</w:t>
      </w:r>
      <w:r w:rsidR="00A729EE">
        <w:rPr>
          <w:rFonts w:ascii="Tahoma" w:hAnsi="Tahoma" w:cs="Tahoma"/>
        </w:rPr>
        <w:t xml:space="preserve"> du 12 mai (T-1) de 129.13 a dessiné un support </w:t>
      </w:r>
      <w:r w:rsidR="00EC3546">
        <w:rPr>
          <w:rFonts w:ascii="Tahoma" w:hAnsi="Tahoma" w:cs="Tahoma"/>
        </w:rPr>
        <w:t>intermédiaire</w:t>
      </w:r>
      <w:r w:rsidR="00A729EE">
        <w:rPr>
          <w:rFonts w:ascii="Tahoma" w:hAnsi="Tahoma" w:cs="Tahoma"/>
        </w:rPr>
        <w:t xml:space="preserve"> </w:t>
      </w:r>
      <w:r w:rsidR="00EC3546">
        <w:rPr>
          <w:rFonts w:ascii="Tahoma" w:hAnsi="Tahoma" w:cs="Tahoma"/>
        </w:rPr>
        <w:t>au-dessus</w:t>
      </w:r>
      <w:r w:rsidR="00A729EE">
        <w:rPr>
          <w:rFonts w:ascii="Tahoma" w:hAnsi="Tahoma" w:cs="Tahoma"/>
        </w:rPr>
        <w:t xml:space="preserve"> duquel la baisse </w:t>
      </w:r>
      <w:r w:rsidR="00697838">
        <w:rPr>
          <w:rFonts w:ascii="Tahoma" w:hAnsi="Tahoma" w:cs="Tahoma"/>
        </w:rPr>
        <w:t>continuera d’être écartée de l’analyse.</w:t>
      </w:r>
    </w:p>
    <w:p w14:paraId="4B358F2C" w14:textId="0BCEFFEE" w:rsidR="00EB5F04" w:rsidRDefault="00EB5F04" w:rsidP="00B41C02">
      <w:pPr>
        <w:jc w:val="both"/>
        <w:rPr>
          <w:rFonts w:ascii="Tahoma" w:hAnsi="Tahoma" w:cs="Tahoma"/>
        </w:rPr>
      </w:pPr>
      <w:r>
        <w:rPr>
          <w:rFonts w:ascii="Tahoma" w:hAnsi="Tahoma" w:cs="Tahoma"/>
        </w:rPr>
        <w:t xml:space="preserve">Mais ce </w:t>
      </w:r>
      <w:r w:rsidR="00EC3546">
        <w:rPr>
          <w:rFonts w:ascii="Tahoma" w:hAnsi="Tahoma" w:cs="Tahoma"/>
        </w:rPr>
        <w:t>type</w:t>
      </w:r>
      <w:r>
        <w:rPr>
          <w:rFonts w:ascii="Tahoma" w:hAnsi="Tahoma" w:cs="Tahoma"/>
        </w:rPr>
        <w:t xml:space="preserve"> de bougie montre aussi l’absence de conviction forte. C’est pourquoi il sera </w:t>
      </w:r>
      <w:r w:rsidR="00EC3546">
        <w:rPr>
          <w:rFonts w:ascii="Tahoma" w:hAnsi="Tahoma" w:cs="Tahoma"/>
        </w:rPr>
        <w:t>nécessaire</w:t>
      </w:r>
      <w:r>
        <w:rPr>
          <w:rFonts w:ascii="Tahoma" w:hAnsi="Tahoma" w:cs="Tahoma"/>
        </w:rPr>
        <w:t xml:space="preserve"> de dépasser la zone des 132.00 pour envisager la formation d’un courant acheteur un peu plus </w:t>
      </w:r>
      <w:r w:rsidR="00691F71">
        <w:rPr>
          <w:rFonts w:ascii="Tahoma" w:hAnsi="Tahoma" w:cs="Tahoma"/>
        </w:rPr>
        <w:t>conséquent</w:t>
      </w:r>
      <w:r>
        <w:rPr>
          <w:rFonts w:ascii="Tahoma" w:hAnsi="Tahoma" w:cs="Tahoma"/>
        </w:rPr>
        <w:t>.</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6712C1F5" w:rsidR="00583BC8" w:rsidRDefault="001444AC" w:rsidP="00B41C02">
      <w:pPr>
        <w:jc w:val="both"/>
        <w:rPr>
          <w:rFonts w:ascii="Tahoma" w:hAnsi="Tahoma" w:cs="Tahoma"/>
        </w:rPr>
      </w:pPr>
      <w:r>
        <w:rPr>
          <w:noProof/>
        </w:rPr>
        <w:lastRenderedPageBreak/>
        <w:drawing>
          <wp:inline distT="0" distB="0" distL="0" distR="0" wp14:anchorId="7B512C93" wp14:editId="2F391E2F">
            <wp:extent cx="5760720" cy="3840480"/>
            <wp:effectExtent l="0" t="0" r="0" b="7620"/>
            <wp:docPr id="116262614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67B8B186" w14:textId="60CDCA0A" w:rsidR="00467005" w:rsidRDefault="00004DD9" w:rsidP="00041E45">
      <w:pPr>
        <w:jc w:val="both"/>
        <w:rPr>
          <w:rFonts w:ascii="Tahoma" w:hAnsi="Tahoma" w:cs="Tahoma"/>
        </w:rPr>
      </w:pPr>
      <w:r>
        <w:rPr>
          <w:rFonts w:ascii="Tahoma" w:hAnsi="Tahoma" w:cs="Tahoma"/>
        </w:rPr>
        <w:t xml:space="preserve">Le maintien du contrat </w:t>
      </w:r>
      <w:r w:rsidR="00EC3546">
        <w:rPr>
          <w:rFonts w:ascii="Tahoma" w:hAnsi="Tahoma" w:cs="Tahoma"/>
        </w:rPr>
        <w:t>au-dessus</w:t>
      </w:r>
      <w:r>
        <w:rPr>
          <w:rFonts w:ascii="Tahoma" w:hAnsi="Tahoma" w:cs="Tahoma"/>
        </w:rPr>
        <w:t xml:space="preserve"> du plat de SSB de 129.67 donne un avantage à la hausse</w:t>
      </w:r>
      <w:r w:rsidR="00812C42">
        <w:rPr>
          <w:rFonts w:ascii="Tahoma" w:hAnsi="Tahoma" w:cs="Tahoma"/>
        </w:rPr>
        <w:t xml:space="preserve"> sur cette unité de temps</w:t>
      </w:r>
      <w:r>
        <w:rPr>
          <w:rFonts w:ascii="Tahoma" w:hAnsi="Tahoma" w:cs="Tahoma"/>
        </w:rPr>
        <w:t>.</w:t>
      </w:r>
    </w:p>
    <w:p w14:paraId="77385F7A" w14:textId="3CF73471" w:rsidR="00004DD9" w:rsidRDefault="00004DD9" w:rsidP="00041E45">
      <w:pPr>
        <w:jc w:val="both"/>
        <w:rPr>
          <w:rFonts w:ascii="Tahoma" w:hAnsi="Tahoma" w:cs="Tahoma"/>
        </w:rPr>
      </w:pPr>
      <w:r>
        <w:rPr>
          <w:rFonts w:ascii="Tahoma" w:hAnsi="Tahoma" w:cs="Tahoma"/>
        </w:rPr>
        <w:t xml:space="preserve">Les cours évoluent </w:t>
      </w:r>
      <w:r w:rsidR="00EC3546">
        <w:rPr>
          <w:rFonts w:ascii="Tahoma" w:hAnsi="Tahoma" w:cs="Tahoma"/>
        </w:rPr>
        <w:t>au-dessus</w:t>
      </w:r>
      <w:r>
        <w:rPr>
          <w:rFonts w:ascii="Tahoma" w:hAnsi="Tahoma" w:cs="Tahoma"/>
        </w:rPr>
        <w:t xml:space="preserve"> de leur nuage, mais pour placer le court terme dans un </w:t>
      </w:r>
      <w:r w:rsidR="00EC3546">
        <w:rPr>
          <w:rFonts w:ascii="Tahoma" w:hAnsi="Tahoma" w:cs="Tahoma"/>
        </w:rPr>
        <w:t>environnement</w:t>
      </w:r>
      <w:r>
        <w:rPr>
          <w:rFonts w:ascii="Tahoma" w:hAnsi="Tahoma" w:cs="Tahoma"/>
        </w:rPr>
        <w:t xml:space="preserve"> haussier, la LS devra s’affranchir de </w:t>
      </w:r>
      <w:r w:rsidR="00812C42">
        <w:rPr>
          <w:rFonts w:ascii="Tahoma" w:hAnsi="Tahoma" w:cs="Tahoma"/>
        </w:rPr>
        <w:t>s</w:t>
      </w:r>
      <w:r>
        <w:rPr>
          <w:rFonts w:ascii="Tahoma" w:hAnsi="Tahoma" w:cs="Tahoma"/>
        </w:rPr>
        <w:t>a barrière de prix. Ce ne sera qu’en dépassement de la zone des 132.00 que les cours et la LS pourront évoluer à la hausse sans contrainte.</w:t>
      </w:r>
    </w:p>
    <w:p w14:paraId="25CD78EF" w14:textId="2F54849B" w:rsidR="00004DD9" w:rsidRDefault="006F10DF" w:rsidP="00041E45">
      <w:pPr>
        <w:jc w:val="both"/>
        <w:rPr>
          <w:rFonts w:ascii="Tahoma" w:hAnsi="Tahoma" w:cs="Tahoma"/>
        </w:rPr>
      </w:pPr>
      <w:r>
        <w:rPr>
          <w:rFonts w:ascii="Tahoma" w:hAnsi="Tahoma" w:cs="Tahoma"/>
        </w:rPr>
        <w:t xml:space="preserve">Mais attention, ce dépassement </w:t>
      </w:r>
      <w:r w:rsidR="00426531">
        <w:rPr>
          <w:rFonts w:ascii="Tahoma" w:hAnsi="Tahoma" w:cs="Tahoma"/>
        </w:rPr>
        <w:t xml:space="preserve">ne sera qu’un premier </w:t>
      </w:r>
      <w:r w:rsidR="00EC3546">
        <w:rPr>
          <w:rFonts w:ascii="Tahoma" w:hAnsi="Tahoma" w:cs="Tahoma"/>
        </w:rPr>
        <w:t>succès</w:t>
      </w:r>
      <w:r w:rsidR="00426531">
        <w:rPr>
          <w:rFonts w:ascii="Tahoma" w:hAnsi="Tahoma" w:cs="Tahoma"/>
        </w:rPr>
        <w:t xml:space="preserve"> pour les haussiers. En effet </w:t>
      </w:r>
      <w:r w:rsidR="00EC3546">
        <w:rPr>
          <w:rFonts w:ascii="Tahoma" w:hAnsi="Tahoma" w:cs="Tahoma"/>
        </w:rPr>
        <w:t>au-dessus</w:t>
      </w:r>
      <w:r w:rsidR="00426531">
        <w:rPr>
          <w:rFonts w:ascii="Tahoma" w:hAnsi="Tahoma" w:cs="Tahoma"/>
        </w:rPr>
        <w:t xml:space="preserve"> de 132.00, les prix trouveront une autre résistance, plus importante cette fois ci, matérialisée par un plat de SSB passée sur 132.75.</w:t>
      </w:r>
    </w:p>
    <w:p w14:paraId="743AFCA5" w14:textId="28203710" w:rsidR="00404F1E" w:rsidRDefault="00404F1E" w:rsidP="00041E45">
      <w:pPr>
        <w:jc w:val="both"/>
        <w:rPr>
          <w:rFonts w:ascii="Tahoma" w:hAnsi="Tahoma" w:cs="Tahoma"/>
        </w:rPr>
      </w:pPr>
      <w:r>
        <w:rPr>
          <w:rFonts w:ascii="Tahoma" w:hAnsi="Tahoma" w:cs="Tahoma"/>
        </w:rPr>
        <w:t xml:space="preserve">Dans ce contexte, le dépassement de 132.00 </w:t>
      </w:r>
      <w:r w:rsidR="00EC3546">
        <w:rPr>
          <w:rFonts w:ascii="Tahoma" w:hAnsi="Tahoma" w:cs="Tahoma"/>
        </w:rPr>
        <w:t>facilitera</w:t>
      </w:r>
      <w:r>
        <w:rPr>
          <w:rFonts w:ascii="Tahoma" w:hAnsi="Tahoma" w:cs="Tahoma"/>
        </w:rPr>
        <w:t xml:space="preserve"> l’arrivée du marché sur 132.75 mais ce ne sera qu’</w:t>
      </w:r>
      <w:r w:rsidR="00863985">
        <w:rPr>
          <w:rFonts w:ascii="Tahoma" w:hAnsi="Tahoma" w:cs="Tahoma"/>
        </w:rPr>
        <w:t>en</w:t>
      </w:r>
      <w:r>
        <w:rPr>
          <w:rFonts w:ascii="Tahoma" w:hAnsi="Tahoma" w:cs="Tahoma"/>
        </w:rPr>
        <w:t xml:space="preserve"> dépassement (en </w:t>
      </w:r>
      <w:r w:rsidR="00EC3546">
        <w:rPr>
          <w:rFonts w:ascii="Tahoma" w:hAnsi="Tahoma" w:cs="Tahoma"/>
        </w:rPr>
        <w:t>clôture</w:t>
      </w:r>
      <w:r>
        <w:rPr>
          <w:rFonts w:ascii="Tahoma" w:hAnsi="Tahoma" w:cs="Tahoma"/>
        </w:rPr>
        <w:t xml:space="preserve">) de cette dernière résistance, que l’on pourra envisager </w:t>
      </w:r>
      <w:r w:rsidR="00EC3546">
        <w:rPr>
          <w:rFonts w:ascii="Tahoma" w:hAnsi="Tahoma" w:cs="Tahoma"/>
        </w:rPr>
        <w:t>une poursuite</w:t>
      </w:r>
      <w:r>
        <w:rPr>
          <w:rFonts w:ascii="Tahoma" w:hAnsi="Tahoma" w:cs="Tahoma"/>
        </w:rPr>
        <w:t xml:space="preserve"> de la hausse en direction de la zone d’</w:t>
      </w:r>
      <w:r w:rsidR="00EC3546">
        <w:rPr>
          <w:rFonts w:ascii="Tahoma" w:hAnsi="Tahoma" w:cs="Tahoma"/>
        </w:rPr>
        <w:t>équilibre</w:t>
      </w:r>
      <w:r>
        <w:rPr>
          <w:rFonts w:ascii="Tahoma" w:hAnsi="Tahoma" w:cs="Tahoma"/>
        </w:rPr>
        <w:t xml:space="preserve"> de moyen terme de 133.40.</w:t>
      </w:r>
    </w:p>
    <w:p w14:paraId="1A705A00" w14:textId="4EE0AF19" w:rsidR="00404F1E" w:rsidRDefault="00404F1E" w:rsidP="00B94D71">
      <w:pPr>
        <w:jc w:val="both"/>
        <w:rPr>
          <w:rFonts w:ascii="Tahoma" w:hAnsi="Tahoma" w:cs="Tahoma"/>
        </w:rPr>
      </w:pPr>
      <w:r>
        <w:rPr>
          <w:rFonts w:ascii="Tahoma" w:hAnsi="Tahoma" w:cs="Tahoma"/>
        </w:rPr>
        <w:t>L’enchainement des bougies est positi</w:t>
      </w:r>
      <w:r w:rsidR="00F76861">
        <w:rPr>
          <w:rFonts w:ascii="Tahoma" w:hAnsi="Tahoma" w:cs="Tahoma"/>
        </w:rPr>
        <w:t>f</w:t>
      </w:r>
      <w:r>
        <w:rPr>
          <w:rFonts w:ascii="Tahoma" w:hAnsi="Tahoma" w:cs="Tahoma"/>
        </w:rPr>
        <w:t xml:space="preserve">. </w:t>
      </w:r>
      <w:r w:rsidR="00F76861">
        <w:rPr>
          <w:rFonts w:ascii="Tahoma" w:hAnsi="Tahoma" w:cs="Tahoma"/>
        </w:rPr>
        <w:t>A</w:t>
      </w:r>
      <w:r>
        <w:rPr>
          <w:rFonts w:ascii="Tahoma" w:hAnsi="Tahoma" w:cs="Tahoma"/>
        </w:rPr>
        <w:t xml:space="preserve">près l’avalement haussier de la semaine dernière, c’est une formation proche de l’étoile du matin qui a permis au contrat de se maintenir </w:t>
      </w:r>
      <w:r w:rsidR="00EC3546">
        <w:rPr>
          <w:rFonts w:ascii="Tahoma" w:hAnsi="Tahoma" w:cs="Tahoma"/>
        </w:rPr>
        <w:t>au-dessus</w:t>
      </w:r>
      <w:r>
        <w:rPr>
          <w:rFonts w:ascii="Tahoma" w:hAnsi="Tahoma" w:cs="Tahoma"/>
        </w:rPr>
        <w:t xml:space="preserve"> de 129.67.</w:t>
      </w:r>
      <w:r w:rsidR="00F76861">
        <w:rPr>
          <w:rFonts w:ascii="Tahoma" w:hAnsi="Tahoma" w:cs="Tahoma"/>
        </w:rPr>
        <w:t xml:space="preserve"> Et cette action des prix donne un avantage à la poursuite de la hausse.</w:t>
      </w:r>
    </w:p>
    <w:p w14:paraId="71B5649D" w14:textId="77777777" w:rsidR="00404F1E" w:rsidRDefault="00404F1E" w:rsidP="00B94D71">
      <w:pPr>
        <w:jc w:val="both"/>
        <w:rPr>
          <w:rFonts w:ascii="Tahoma" w:hAnsi="Tahoma" w:cs="Tahoma"/>
        </w:rPr>
      </w:pPr>
    </w:p>
    <w:p w14:paraId="258EB8FF" w14:textId="64361F16"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B74769">
        <w:rPr>
          <w:rFonts w:ascii="Tahoma" w:hAnsi="Tahoma" w:cs="Tahoma"/>
        </w:rPr>
        <w:t xml:space="preserve"> Positif </w:t>
      </w:r>
      <w:r w:rsidR="00EC3546">
        <w:rPr>
          <w:rFonts w:ascii="Tahoma" w:hAnsi="Tahoma" w:cs="Tahoma"/>
        </w:rPr>
        <w:t>au-dessus</w:t>
      </w:r>
      <w:r w:rsidR="00B74769">
        <w:rPr>
          <w:rFonts w:ascii="Tahoma" w:hAnsi="Tahoma" w:cs="Tahoma"/>
        </w:rPr>
        <w:t xml:space="preserve"> de 129.13. </w:t>
      </w:r>
      <w:r w:rsidR="008D135C">
        <w:rPr>
          <w:rFonts w:ascii="Tahoma" w:hAnsi="Tahoma" w:cs="Tahoma"/>
        </w:rPr>
        <w:t xml:space="preserve">La progression des prix manque de conviction mais elle reste positive. </w:t>
      </w:r>
      <w:r w:rsidR="0007592F">
        <w:rPr>
          <w:rFonts w:ascii="Tahoma" w:hAnsi="Tahoma" w:cs="Tahoma"/>
        </w:rPr>
        <w:t xml:space="preserve">Elle </w:t>
      </w:r>
      <w:r w:rsidR="008D135C">
        <w:rPr>
          <w:rFonts w:ascii="Tahoma" w:hAnsi="Tahoma" w:cs="Tahoma"/>
        </w:rPr>
        <w:t xml:space="preserve">devra </w:t>
      </w:r>
      <w:r w:rsidR="0007592F">
        <w:rPr>
          <w:rFonts w:ascii="Tahoma" w:hAnsi="Tahoma" w:cs="Tahoma"/>
        </w:rPr>
        <w:t xml:space="preserve">permettre de </w:t>
      </w:r>
      <w:r w:rsidR="008D135C">
        <w:rPr>
          <w:rFonts w:ascii="Tahoma" w:hAnsi="Tahoma" w:cs="Tahoma"/>
        </w:rPr>
        <w:t>s’affranchir d</w:t>
      </w:r>
      <w:r w:rsidR="0007592F">
        <w:rPr>
          <w:rFonts w:ascii="Tahoma" w:hAnsi="Tahoma" w:cs="Tahoma"/>
        </w:rPr>
        <w:t>e la</w:t>
      </w:r>
      <w:r w:rsidR="008D135C">
        <w:rPr>
          <w:rFonts w:ascii="Tahoma" w:hAnsi="Tahoma" w:cs="Tahoma"/>
        </w:rPr>
        <w:t xml:space="preserve"> résistance intermédiaire </w:t>
      </w:r>
      <w:r w:rsidR="0007592F">
        <w:rPr>
          <w:rFonts w:ascii="Tahoma" w:hAnsi="Tahoma" w:cs="Tahoma"/>
        </w:rPr>
        <w:t>de</w:t>
      </w:r>
      <w:r w:rsidR="008D135C">
        <w:rPr>
          <w:rFonts w:ascii="Tahoma" w:hAnsi="Tahoma" w:cs="Tahoma"/>
        </w:rPr>
        <w:t xml:space="preserve"> 132.00 et d’une </w:t>
      </w:r>
      <w:r w:rsidR="00F724E8">
        <w:rPr>
          <w:rFonts w:ascii="Tahoma" w:hAnsi="Tahoma" w:cs="Tahoma"/>
        </w:rPr>
        <w:t>dernière</w:t>
      </w:r>
      <w:r w:rsidR="008D135C">
        <w:rPr>
          <w:rFonts w:ascii="Tahoma" w:hAnsi="Tahoma" w:cs="Tahoma"/>
        </w:rPr>
        <w:t xml:space="preserve"> plus solide sur 132.75</w:t>
      </w:r>
      <w:r w:rsidR="00F724E8">
        <w:rPr>
          <w:rFonts w:ascii="Tahoma" w:hAnsi="Tahoma" w:cs="Tahoma"/>
        </w:rPr>
        <w:t>,</w:t>
      </w:r>
      <w:r w:rsidR="008D135C">
        <w:rPr>
          <w:rFonts w:ascii="Tahoma" w:hAnsi="Tahoma" w:cs="Tahoma"/>
        </w:rPr>
        <w:t xml:space="preserve"> </w:t>
      </w:r>
      <w:r w:rsidR="00AA1894">
        <w:rPr>
          <w:rFonts w:ascii="Tahoma" w:hAnsi="Tahoma" w:cs="Tahoma"/>
        </w:rPr>
        <w:t xml:space="preserve">pour </w:t>
      </w:r>
      <w:r w:rsidR="00247BCF">
        <w:rPr>
          <w:rFonts w:ascii="Tahoma" w:hAnsi="Tahoma" w:cs="Tahoma"/>
        </w:rPr>
        <w:t xml:space="preserve">apporter plus de conviction du </w:t>
      </w:r>
      <w:r w:rsidR="00A52B7D">
        <w:rPr>
          <w:rFonts w:ascii="Tahoma" w:hAnsi="Tahoma" w:cs="Tahoma"/>
        </w:rPr>
        <w:t>côté</w:t>
      </w:r>
      <w:r w:rsidR="00247BCF">
        <w:rPr>
          <w:rFonts w:ascii="Tahoma" w:hAnsi="Tahoma" w:cs="Tahoma"/>
        </w:rPr>
        <w:t xml:space="preserve"> des</w:t>
      </w:r>
      <w:r w:rsidR="008D135C">
        <w:rPr>
          <w:rFonts w:ascii="Tahoma" w:hAnsi="Tahoma" w:cs="Tahoma"/>
        </w:rPr>
        <w:t xml:space="preserve"> acheteur</w:t>
      </w:r>
      <w:r w:rsidR="00247BCF">
        <w:rPr>
          <w:rFonts w:ascii="Tahoma" w:hAnsi="Tahoma" w:cs="Tahoma"/>
        </w:rPr>
        <w:t>s</w:t>
      </w:r>
      <w:r w:rsidR="008D135C">
        <w:rPr>
          <w:rFonts w:ascii="Tahoma" w:hAnsi="Tahoma" w:cs="Tahoma"/>
        </w:rPr>
        <w:t>.</w:t>
      </w:r>
    </w:p>
    <w:p w14:paraId="2E975A96" w14:textId="77777777" w:rsidR="00EE6B93" w:rsidRDefault="00EE6B93" w:rsidP="00041E45">
      <w:pPr>
        <w:jc w:val="both"/>
        <w:rPr>
          <w:rFonts w:ascii="Tahoma" w:hAnsi="Tahoma" w:cs="Tahoma"/>
        </w:rPr>
      </w:pPr>
    </w:p>
    <w:p w14:paraId="75A26EFF" w14:textId="0D3436C0" w:rsidR="00EE6B93" w:rsidRPr="00242204"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4DD9"/>
    <w:rsid w:val="0002580A"/>
    <w:rsid w:val="00041E45"/>
    <w:rsid w:val="000524C5"/>
    <w:rsid w:val="000556C3"/>
    <w:rsid w:val="0007592F"/>
    <w:rsid w:val="000833FB"/>
    <w:rsid w:val="00092058"/>
    <w:rsid w:val="000938CC"/>
    <w:rsid w:val="000B221E"/>
    <w:rsid w:val="000B7DFC"/>
    <w:rsid w:val="000C0DE4"/>
    <w:rsid w:val="000D4ED3"/>
    <w:rsid w:val="001018AD"/>
    <w:rsid w:val="00103ED4"/>
    <w:rsid w:val="00105B4E"/>
    <w:rsid w:val="00134AFA"/>
    <w:rsid w:val="00135766"/>
    <w:rsid w:val="001444AC"/>
    <w:rsid w:val="0014687D"/>
    <w:rsid w:val="0015581D"/>
    <w:rsid w:val="00163C46"/>
    <w:rsid w:val="001705F4"/>
    <w:rsid w:val="00187880"/>
    <w:rsid w:val="00190995"/>
    <w:rsid w:val="001A4796"/>
    <w:rsid w:val="001D474B"/>
    <w:rsid w:val="001F650A"/>
    <w:rsid w:val="002003AD"/>
    <w:rsid w:val="002421FE"/>
    <w:rsid w:val="00242204"/>
    <w:rsid w:val="00247BCF"/>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04F1E"/>
    <w:rsid w:val="00426531"/>
    <w:rsid w:val="00467005"/>
    <w:rsid w:val="004A2D2D"/>
    <w:rsid w:val="004A5154"/>
    <w:rsid w:val="004B0855"/>
    <w:rsid w:val="004F48EE"/>
    <w:rsid w:val="00531928"/>
    <w:rsid w:val="005440A4"/>
    <w:rsid w:val="00546A5A"/>
    <w:rsid w:val="00566580"/>
    <w:rsid w:val="00567AF3"/>
    <w:rsid w:val="00583BC8"/>
    <w:rsid w:val="00593746"/>
    <w:rsid w:val="005C5122"/>
    <w:rsid w:val="0063796C"/>
    <w:rsid w:val="00654380"/>
    <w:rsid w:val="00664BE1"/>
    <w:rsid w:val="00691F71"/>
    <w:rsid w:val="00697838"/>
    <w:rsid w:val="006B055C"/>
    <w:rsid w:val="006E32BB"/>
    <w:rsid w:val="006E38E0"/>
    <w:rsid w:val="006F10DF"/>
    <w:rsid w:val="00710599"/>
    <w:rsid w:val="00723F77"/>
    <w:rsid w:val="00744696"/>
    <w:rsid w:val="00772067"/>
    <w:rsid w:val="0077545D"/>
    <w:rsid w:val="007A0A4B"/>
    <w:rsid w:val="007A0E6C"/>
    <w:rsid w:val="007A2A28"/>
    <w:rsid w:val="007B1237"/>
    <w:rsid w:val="007B661D"/>
    <w:rsid w:val="007D19FF"/>
    <w:rsid w:val="007D2085"/>
    <w:rsid w:val="007D4181"/>
    <w:rsid w:val="00812C42"/>
    <w:rsid w:val="0083454A"/>
    <w:rsid w:val="00837B38"/>
    <w:rsid w:val="00863985"/>
    <w:rsid w:val="00896554"/>
    <w:rsid w:val="008A7407"/>
    <w:rsid w:val="008B0DEE"/>
    <w:rsid w:val="008D135C"/>
    <w:rsid w:val="008F10C2"/>
    <w:rsid w:val="00902D2F"/>
    <w:rsid w:val="00914B79"/>
    <w:rsid w:val="00961FDF"/>
    <w:rsid w:val="00983B7D"/>
    <w:rsid w:val="009A37C2"/>
    <w:rsid w:val="009F3AB8"/>
    <w:rsid w:val="00A11606"/>
    <w:rsid w:val="00A52B7D"/>
    <w:rsid w:val="00A6401C"/>
    <w:rsid w:val="00A729EE"/>
    <w:rsid w:val="00A76A17"/>
    <w:rsid w:val="00A81AB7"/>
    <w:rsid w:val="00AA1894"/>
    <w:rsid w:val="00AA522C"/>
    <w:rsid w:val="00AE7F3B"/>
    <w:rsid w:val="00B34260"/>
    <w:rsid w:val="00B41C02"/>
    <w:rsid w:val="00B4335A"/>
    <w:rsid w:val="00B50E38"/>
    <w:rsid w:val="00B554B8"/>
    <w:rsid w:val="00B64EE0"/>
    <w:rsid w:val="00B74769"/>
    <w:rsid w:val="00B94D71"/>
    <w:rsid w:val="00BB0E32"/>
    <w:rsid w:val="00BB6D9D"/>
    <w:rsid w:val="00BC77A5"/>
    <w:rsid w:val="00BD3FC1"/>
    <w:rsid w:val="00BF2451"/>
    <w:rsid w:val="00C17ED7"/>
    <w:rsid w:val="00C41F15"/>
    <w:rsid w:val="00C70171"/>
    <w:rsid w:val="00C70A68"/>
    <w:rsid w:val="00C82E98"/>
    <w:rsid w:val="00CB17C9"/>
    <w:rsid w:val="00CC72FF"/>
    <w:rsid w:val="00CC7C21"/>
    <w:rsid w:val="00CE0886"/>
    <w:rsid w:val="00CF2516"/>
    <w:rsid w:val="00CF6D63"/>
    <w:rsid w:val="00D21214"/>
    <w:rsid w:val="00D23B28"/>
    <w:rsid w:val="00D46C8D"/>
    <w:rsid w:val="00DA1359"/>
    <w:rsid w:val="00DD0423"/>
    <w:rsid w:val="00DE5444"/>
    <w:rsid w:val="00DF072F"/>
    <w:rsid w:val="00E32014"/>
    <w:rsid w:val="00E3727C"/>
    <w:rsid w:val="00EB58BA"/>
    <w:rsid w:val="00EB5F04"/>
    <w:rsid w:val="00EC3546"/>
    <w:rsid w:val="00EE6B93"/>
    <w:rsid w:val="00F04A6E"/>
    <w:rsid w:val="00F04DEF"/>
    <w:rsid w:val="00F31070"/>
    <w:rsid w:val="00F53F10"/>
    <w:rsid w:val="00F636F8"/>
    <w:rsid w:val="00F724E8"/>
    <w:rsid w:val="00F76861"/>
    <w:rsid w:val="00FA2C8E"/>
    <w:rsid w:val="00FA4552"/>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3</Pages>
  <Words>512</Words>
  <Characters>2819</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126</cp:revision>
  <dcterms:created xsi:type="dcterms:W3CDTF">2021-11-25T09:44:00Z</dcterms:created>
  <dcterms:modified xsi:type="dcterms:W3CDTF">2025-05-25T13:35:00Z</dcterms:modified>
</cp:coreProperties>
</file>