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5A51C53" w:rsidR="00902D2F" w:rsidRDefault="007B5C8E" w:rsidP="00B41C02">
      <w:pPr>
        <w:jc w:val="both"/>
        <w:rPr>
          <w:rFonts w:ascii="Tahoma" w:hAnsi="Tahoma" w:cs="Tahoma"/>
        </w:rPr>
      </w:pPr>
      <w:r>
        <w:rPr>
          <w:noProof/>
        </w:rPr>
        <w:drawing>
          <wp:inline distT="0" distB="0" distL="0" distR="0" wp14:anchorId="524E7AD7" wp14:editId="7FC90C00">
            <wp:extent cx="5760720" cy="4320540"/>
            <wp:effectExtent l="0" t="0" r="0" b="3810"/>
            <wp:docPr id="91438881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555DA04C" w14:textId="077729F6" w:rsidR="001705F4" w:rsidRDefault="00BB6D9D" w:rsidP="00263ED0">
      <w:pPr>
        <w:jc w:val="both"/>
        <w:rPr>
          <w:rFonts w:ascii="Tahoma" w:hAnsi="Tahoma" w:cs="Tahoma"/>
        </w:rPr>
      </w:pPr>
      <w:r>
        <w:rPr>
          <w:rFonts w:ascii="Tahoma" w:hAnsi="Tahoma" w:cs="Tahoma"/>
        </w:rPr>
        <w:t xml:space="preserve"> </w:t>
      </w:r>
      <w:r w:rsidR="00041E45">
        <w:rPr>
          <w:rFonts w:ascii="Tahoma" w:hAnsi="Tahoma" w:cs="Tahoma"/>
        </w:rPr>
        <w:t>L</w:t>
      </w:r>
      <w:r w:rsidR="00A64BCB">
        <w:rPr>
          <w:rFonts w:ascii="Tahoma" w:hAnsi="Tahoma" w:cs="Tahoma"/>
        </w:rPr>
        <w:t>’environnement de moyen terme est haussier. Mais l’aplatissement de plusieurs courbes qui compose l’analyse en nuage, indique que la dynamique de déplacement n’est plus là.</w:t>
      </w:r>
    </w:p>
    <w:p w14:paraId="450969A4" w14:textId="65207F72" w:rsidR="00A64BCB" w:rsidRDefault="00A64BCB" w:rsidP="00263ED0">
      <w:pPr>
        <w:jc w:val="both"/>
        <w:rPr>
          <w:rFonts w:ascii="Tahoma" w:hAnsi="Tahoma" w:cs="Tahoma"/>
        </w:rPr>
      </w:pPr>
      <w:r>
        <w:rPr>
          <w:rFonts w:ascii="Tahoma" w:hAnsi="Tahoma" w:cs="Tahoma"/>
        </w:rPr>
        <w:t xml:space="preserve">Ainsi, la LS n’a pas de contraintes pour évoluer à la hausse. Les prix quant à eux devront dépasser le récent </w:t>
      </w:r>
      <w:r w:rsidR="00EB44F6">
        <w:rPr>
          <w:rFonts w:ascii="Tahoma" w:hAnsi="Tahoma" w:cs="Tahoma"/>
        </w:rPr>
        <w:t xml:space="preserve">point haut </w:t>
      </w:r>
      <w:r>
        <w:rPr>
          <w:rFonts w:ascii="Tahoma" w:hAnsi="Tahoma" w:cs="Tahoma"/>
        </w:rPr>
        <w:t>de 5568</w:t>
      </w:r>
      <w:r w:rsidR="00EB44F6">
        <w:rPr>
          <w:rFonts w:ascii="Tahoma" w:hAnsi="Tahoma" w:cs="Tahoma"/>
        </w:rPr>
        <w:t xml:space="preserve"> pour envisager le retour de courbes Ichimoku croissantes.</w:t>
      </w:r>
    </w:p>
    <w:p w14:paraId="46D80309" w14:textId="29E31AE8" w:rsidR="005A041C" w:rsidRDefault="005A041C" w:rsidP="00263ED0">
      <w:pPr>
        <w:jc w:val="both"/>
        <w:rPr>
          <w:rFonts w:ascii="Tahoma" w:hAnsi="Tahoma" w:cs="Tahoma"/>
        </w:rPr>
      </w:pPr>
      <w:r>
        <w:rPr>
          <w:rFonts w:ascii="Tahoma" w:hAnsi="Tahoma" w:cs="Tahoma"/>
        </w:rPr>
        <w:t>De par sa construction, la TS va prochainement repartir à la hausse. Elle permettra à la SS</w:t>
      </w:r>
      <w:r w:rsidR="00E35327">
        <w:rPr>
          <w:rFonts w:ascii="Tahoma" w:hAnsi="Tahoma" w:cs="Tahoma"/>
        </w:rPr>
        <w:t>A</w:t>
      </w:r>
      <w:r>
        <w:rPr>
          <w:rFonts w:ascii="Tahoma" w:hAnsi="Tahoma" w:cs="Tahoma"/>
        </w:rPr>
        <w:t xml:space="preserve"> </w:t>
      </w:r>
      <w:r w:rsidR="00E35327">
        <w:rPr>
          <w:rFonts w:ascii="Tahoma" w:hAnsi="Tahoma" w:cs="Tahoma"/>
        </w:rPr>
        <w:t xml:space="preserve">(partie haute du nuage) </w:t>
      </w:r>
      <w:r>
        <w:rPr>
          <w:rFonts w:ascii="Tahoma" w:hAnsi="Tahoma" w:cs="Tahoma"/>
        </w:rPr>
        <w:t>de retrouver une direction ascendante.</w:t>
      </w:r>
    </w:p>
    <w:p w14:paraId="7D148C4E" w14:textId="77777777" w:rsidR="00E35327" w:rsidRDefault="005A041C" w:rsidP="00263ED0">
      <w:pPr>
        <w:jc w:val="both"/>
        <w:rPr>
          <w:rFonts w:ascii="Tahoma" w:hAnsi="Tahoma" w:cs="Tahoma"/>
        </w:rPr>
      </w:pPr>
      <w:r>
        <w:rPr>
          <w:rFonts w:ascii="Tahoma" w:hAnsi="Tahoma" w:cs="Tahoma"/>
        </w:rPr>
        <w:t>Mais en dehors de cet effet « construction » la KS restera plate tout comme la SSB. Ces deux courbes traceront pour les prochaines semaines une zone support entre 5054 pour la première et 5021 pour la seconde.</w:t>
      </w:r>
      <w:r w:rsidR="00313B9D">
        <w:rPr>
          <w:rFonts w:ascii="Tahoma" w:hAnsi="Tahoma" w:cs="Tahoma"/>
        </w:rPr>
        <w:t xml:space="preserve"> </w:t>
      </w:r>
    </w:p>
    <w:p w14:paraId="7A7AE882" w14:textId="088BFA78" w:rsidR="005A041C" w:rsidRDefault="00313B9D" w:rsidP="00263ED0">
      <w:pPr>
        <w:jc w:val="both"/>
        <w:rPr>
          <w:rFonts w:ascii="Tahoma" w:hAnsi="Tahoma" w:cs="Tahoma"/>
        </w:rPr>
      </w:pPr>
      <w:r>
        <w:rPr>
          <w:rFonts w:ascii="Tahoma" w:hAnsi="Tahoma" w:cs="Tahoma"/>
        </w:rPr>
        <w:t>Sous 5568, la KS restera plate est aura une fonction de force de rappel.</w:t>
      </w:r>
      <w:r w:rsidR="005A041C">
        <w:rPr>
          <w:rFonts w:ascii="Tahoma" w:hAnsi="Tahoma" w:cs="Tahoma"/>
        </w:rPr>
        <w:t xml:space="preserve"> </w:t>
      </w:r>
    </w:p>
    <w:p w14:paraId="65B16AE1" w14:textId="0999018D" w:rsidR="00583BC8" w:rsidRDefault="00583BC8"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lastRenderedPageBreak/>
        <w:t>DAY</w:t>
      </w:r>
    </w:p>
    <w:p w14:paraId="1675B8DF" w14:textId="44669D38" w:rsidR="00583BC8" w:rsidRDefault="007B5C8E" w:rsidP="00B41C02">
      <w:pPr>
        <w:jc w:val="both"/>
        <w:rPr>
          <w:rFonts w:ascii="Tahoma" w:hAnsi="Tahoma" w:cs="Tahoma"/>
        </w:rPr>
      </w:pPr>
      <w:r>
        <w:rPr>
          <w:noProof/>
        </w:rPr>
        <w:drawing>
          <wp:inline distT="0" distB="0" distL="0" distR="0" wp14:anchorId="2735D01D" wp14:editId="6918A2E4">
            <wp:extent cx="5760720" cy="4320540"/>
            <wp:effectExtent l="0" t="0" r="0" b="3810"/>
            <wp:docPr id="210819116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710BA38C" w14:textId="48802520" w:rsidR="00163C46" w:rsidRDefault="001354FD" w:rsidP="00263ED0">
      <w:pPr>
        <w:jc w:val="both"/>
        <w:rPr>
          <w:rFonts w:ascii="Tahoma" w:hAnsi="Tahoma" w:cs="Tahoma"/>
        </w:rPr>
      </w:pPr>
      <w:r>
        <w:rPr>
          <w:rFonts w:ascii="Tahoma" w:hAnsi="Tahoma" w:cs="Tahoma"/>
        </w:rPr>
        <w:t>L’élément</w:t>
      </w:r>
      <w:r w:rsidR="00BA0256">
        <w:rPr>
          <w:rFonts w:ascii="Tahoma" w:hAnsi="Tahoma" w:cs="Tahoma"/>
        </w:rPr>
        <w:t xml:space="preserve"> positif sur le court terme est concrétisé par le dépassement par la LS de la bordure haute de son nuage. Les cours de leur coté devront s’affranchir de la résistance intermédiaire de 5454 pour envisager un retour des prix sur le sommet de 5568.</w:t>
      </w:r>
    </w:p>
    <w:p w14:paraId="20E74369" w14:textId="6589ECDA" w:rsidR="00BA0256" w:rsidRDefault="00BA0256" w:rsidP="00263ED0">
      <w:pPr>
        <w:jc w:val="both"/>
        <w:rPr>
          <w:rFonts w:ascii="Tahoma" w:hAnsi="Tahoma" w:cs="Tahoma"/>
        </w:rPr>
      </w:pPr>
      <w:r>
        <w:rPr>
          <w:rFonts w:ascii="Tahoma" w:hAnsi="Tahoma" w:cs="Tahoma"/>
        </w:rPr>
        <w:t>La SSB</w:t>
      </w:r>
      <w:r w:rsidR="00E35327">
        <w:rPr>
          <w:rFonts w:ascii="Tahoma" w:hAnsi="Tahoma" w:cs="Tahoma"/>
        </w:rPr>
        <w:t xml:space="preserve"> </w:t>
      </w:r>
      <w:r>
        <w:rPr>
          <w:rFonts w:ascii="Tahoma" w:hAnsi="Tahoma" w:cs="Tahoma"/>
        </w:rPr>
        <w:t xml:space="preserve">plus ou moins plate </w:t>
      </w:r>
      <w:r w:rsidR="00E35327">
        <w:rPr>
          <w:rFonts w:ascii="Tahoma" w:hAnsi="Tahoma" w:cs="Tahoma"/>
        </w:rPr>
        <w:t>avec</w:t>
      </w:r>
      <w:r>
        <w:rPr>
          <w:rFonts w:ascii="Tahoma" w:hAnsi="Tahoma" w:cs="Tahoma"/>
        </w:rPr>
        <w:t xml:space="preserve"> </w:t>
      </w:r>
      <w:r w:rsidR="00E35327">
        <w:rPr>
          <w:rFonts w:ascii="Tahoma" w:hAnsi="Tahoma" w:cs="Tahoma"/>
        </w:rPr>
        <w:t>la</w:t>
      </w:r>
      <w:r>
        <w:rPr>
          <w:rFonts w:ascii="Tahoma" w:hAnsi="Tahoma" w:cs="Tahoma"/>
        </w:rPr>
        <w:t xml:space="preserve"> SSA croissante ne concrétise</w:t>
      </w:r>
      <w:r w:rsidR="00E35327">
        <w:rPr>
          <w:rFonts w:ascii="Tahoma" w:hAnsi="Tahoma" w:cs="Tahoma"/>
        </w:rPr>
        <w:t>nt</w:t>
      </w:r>
      <w:r>
        <w:rPr>
          <w:rFonts w:ascii="Tahoma" w:hAnsi="Tahoma" w:cs="Tahoma"/>
        </w:rPr>
        <w:t xml:space="preserve"> </w:t>
      </w:r>
      <w:r w:rsidR="00E35327">
        <w:rPr>
          <w:rFonts w:ascii="Tahoma" w:hAnsi="Tahoma" w:cs="Tahoma"/>
        </w:rPr>
        <w:t>un mouvement</w:t>
      </w:r>
      <w:r>
        <w:rPr>
          <w:rFonts w:ascii="Tahoma" w:hAnsi="Tahoma" w:cs="Tahoma"/>
        </w:rPr>
        <w:t xml:space="preserve"> directionnel. Cette </w:t>
      </w:r>
      <w:r w:rsidR="001354FD">
        <w:rPr>
          <w:rFonts w:ascii="Tahoma" w:hAnsi="Tahoma" w:cs="Tahoma"/>
        </w:rPr>
        <w:t>différence</w:t>
      </w:r>
      <w:r>
        <w:rPr>
          <w:rFonts w:ascii="Tahoma" w:hAnsi="Tahoma" w:cs="Tahoma"/>
        </w:rPr>
        <w:t xml:space="preserve"> de direction entre SSB et SSA traduit de la volatilité </w:t>
      </w:r>
      <w:r w:rsidR="00516848">
        <w:rPr>
          <w:rFonts w:ascii="Tahoma" w:hAnsi="Tahoma" w:cs="Tahoma"/>
        </w:rPr>
        <w:t>et laisse envisager une correction de l’indice.</w:t>
      </w:r>
    </w:p>
    <w:p w14:paraId="49939098" w14:textId="1571D8BE" w:rsidR="00516848" w:rsidRDefault="00516848" w:rsidP="00263ED0">
      <w:pPr>
        <w:jc w:val="both"/>
        <w:rPr>
          <w:rFonts w:ascii="Tahoma" w:hAnsi="Tahoma" w:cs="Tahoma"/>
        </w:rPr>
      </w:pPr>
      <w:r>
        <w:rPr>
          <w:rFonts w:ascii="Tahoma" w:hAnsi="Tahoma" w:cs="Tahoma"/>
        </w:rPr>
        <w:t>Les chandelles restent de petite taille. Elles manquent de conviction et à l’approche de la résistance de 5454, les acheteurs pourraient chercher à réaliser une partie de leurs gains.</w:t>
      </w:r>
    </w:p>
    <w:p w14:paraId="10BB9766" w14:textId="77777777" w:rsidR="00723F77" w:rsidRDefault="00723F77" w:rsidP="00041E45">
      <w:pPr>
        <w:jc w:val="both"/>
        <w:rPr>
          <w:rFonts w:ascii="Tahoma" w:hAnsi="Tahoma" w:cs="Tahoma"/>
        </w:rPr>
      </w:pPr>
    </w:p>
    <w:p w14:paraId="655E9AC0" w14:textId="149DE75D" w:rsidR="00723F77" w:rsidRDefault="00835AC6" w:rsidP="00041E45">
      <w:pPr>
        <w:jc w:val="both"/>
        <w:rPr>
          <w:rFonts w:ascii="Tahoma" w:hAnsi="Tahoma" w:cs="Tahoma"/>
        </w:rPr>
      </w:pPr>
      <w:r w:rsidRPr="00835AC6">
        <w:rPr>
          <w:rFonts w:ascii="Tahoma" w:hAnsi="Tahoma" w:cs="Tahoma"/>
          <w:u w:val="single"/>
        </w:rPr>
        <w:t>CONCLUSION</w:t>
      </w:r>
      <w:r>
        <w:rPr>
          <w:rFonts w:ascii="Tahoma" w:hAnsi="Tahoma" w:cs="Tahoma"/>
        </w:rPr>
        <w:t> :</w:t>
      </w:r>
      <w:r w:rsidR="00F84908">
        <w:rPr>
          <w:rFonts w:ascii="Tahoma" w:hAnsi="Tahoma" w:cs="Tahoma"/>
        </w:rPr>
        <w:t xml:space="preserve"> Les prix se rapprochent du sommet de 5568, mais ils devront dans un premier temps s’affranchir de la résistance </w:t>
      </w:r>
      <w:r w:rsidR="001354FD">
        <w:rPr>
          <w:rFonts w:ascii="Tahoma" w:hAnsi="Tahoma" w:cs="Tahoma"/>
        </w:rPr>
        <w:t>intermédiaire</w:t>
      </w:r>
      <w:r w:rsidR="00F84908">
        <w:rPr>
          <w:rFonts w:ascii="Tahoma" w:hAnsi="Tahoma" w:cs="Tahoma"/>
        </w:rPr>
        <w:t xml:space="preserve"> de 5454. Quoi qu’il en soit, la configuration graphique des courbes Ichimoku ne plaide pas pour un dépassement des résistances, tout comme les chandeliers journaliers qui montrent l’absence de conviction. </w:t>
      </w: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00E1"/>
    <w:rsid w:val="001018AD"/>
    <w:rsid w:val="00105B4E"/>
    <w:rsid w:val="00134AFA"/>
    <w:rsid w:val="001354FD"/>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13B9D"/>
    <w:rsid w:val="00337611"/>
    <w:rsid w:val="00340FD9"/>
    <w:rsid w:val="00352DD9"/>
    <w:rsid w:val="003C2E49"/>
    <w:rsid w:val="0040171B"/>
    <w:rsid w:val="00467005"/>
    <w:rsid w:val="004A5154"/>
    <w:rsid w:val="00516848"/>
    <w:rsid w:val="00531928"/>
    <w:rsid w:val="005440A4"/>
    <w:rsid w:val="00546A5A"/>
    <w:rsid w:val="00566580"/>
    <w:rsid w:val="00567AF3"/>
    <w:rsid w:val="00583BC8"/>
    <w:rsid w:val="005A041C"/>
    <w:rsid w:val="00654380"/>
    <w:rsid w:val="006E32BB"/>
    <w:rsid w:val="00723F77"/>
    <w:rsid w:val="00744696"/>
    <w:rsid w:val="00772067"/>
    <w:rsid w:val="0077545D"/>
    <w:rsid w:val="007A0E6C"/>
    <w:rsid w:val="007B5C8E"/>
    <w:rsid w:val="007B661D"/>
    <w:rsid w:val="007D19FF"/>
    <w:rsid w:val="007D2085"/>
    <w:rsid w:val="0083454A"/>
    <w:rsid w:val="00835AC6"/>
    <w:rsid w:val="00837B38"/>
    <w:rsid w:val="00896554"/>
    <w:rsid w:val="008A7407"/>
    <w:rsid w:val="008F10C2"/>
    <w:rsid w:val="00902D2F"/>
    <w:rsid w:val="00961FDF"/>
    <w:rsid w:val="00983B7D"/>
    <w:rsid w:val="009A37C2"/>
    <w:rsid w:val="009F3AB8"/>
    <w:rsid w:val="00A11606"/>
    <w:rsid w:val="00A6401C"/>
    <w:rsid w:val="00A64BCB"/>
    <w:rsid w:val="00A81AB7"/>
    <w:rsid w:val="00AE7F3B"/>
    <w:rsid w:val="00B34260"/>
    <w:rsid w:val="00B41C02"/>
    <w:rsid w:val="00B50E38"/>
    <w:rsid w:val="00B554B8"/>
    <w:rsid w:val="00B64EE0"/>
    <w:rsid w:val="00BA0256"/>
    <w:rsid w:val="00BB0E32"/>
    <w:rsid w:val="00BB6D9D"/>
    <w:rsid w:val="00BC77A5"/>
    <w:rsid w:val="00BD3FC1"/>
    <w:rsid w:val="00C17ED7"/>
    <w:rsid w:val="00C41F15"/>
    <w:rsid w:val="00C70171"/>
    <w:rsid w:val="00C70A68"/>
    <w:rsid w:val="00C82E98"/>
    <w:rsid w:val="00CC7C21"/>
    <w:rsid w:val="00CE0886"/>
    <w:rsid w:val="00CF2516"/>
    <w:rsid w:val="00CF6D63"/>
    <w:rsid w:val="00D23B28"/>
    <w:rsid w:val="00D46C8D"/>
    <w:rsid w:val="00DE5444"/>
    <w:rsid w:val="00DF072F"/>
    <w:rsid w:val="00E32014"/>
    <w:rsid w:val="00E35327"/>
    <w:rsid w:val="00EB44F6"/>
    <w:rsid w:val="00EB58BA"/>
    <w:rsid w:val="00F04A6E"/>
    <w:rsid w:val="00F04DEF"/>
    <w:rsid w:val="00F31070"/>
    <w:rsid w:val="00F53F10"/>
    <w:rsid w:val="00F636F8"/>
    <w:rsid w:val="00F8490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Pages>
  <Words>423</Words>
  <Characters>2332</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82</cp:revision>
  <dcterms:created xsi:type="dcterms:W3CDTF">2021-11-25T09:44:00Z</dcterms:created>
  <dcterms:modified xsi:type="dcterms:W3CDTF">2025-06-08T13:33:00Z</dcterms:modified>
</cp:coreProperties>
</file>