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76ECC52" w:rsidR="00902D2F" w:rsidRDefault="006D118D" w:rsidP="00B41C02">
      <w:pPr>
        <w:jc w:val="both"/>
        <w:rPr>
          <w:rFonts w:ascii="Tahoma" w:hAnsi="Tahoma" w:cs="Tahoma"/>
        </w:rPr>
      </w:pPr>
      <w:r>
        <w:rPr>
          <w:noProof/>
        </w:rPr>
        <w:drawing>
          <wp:inline distT="0" distB="0" distL="0" distR="0" wp14:anchorId="24E5C909" wp14:editId="33F2F59E">
            <wp:extent cx="5760720" cy="4320540"/>
            <wp:effectExtent l="0" t="0" r="0" b="3810"/>
            <wp:docPr id="4460450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477CEA32" w14:textId="77777777" w:rsidR="007F67EB" w:rsidRDefault="007F67EB" w:rsidP="00B41C02">
      <w:pPr>
        <w:jc w:val="both"/>
        <w:rPr>
          <w:rFonts w:ascii="Tahoma" w:hAnsi="Tahoma" w:cs="Tahoma"/>
        </w:rPr>
      </w:pPr>
      <w:r>
        <w:rPr>
          <w:rFonts w:ascii="Tahoma" w:hAnsi="Tahoma" w:cs="Tahoma"/>
        </w:rPr>
        <w:t xml:space="preserve">Le changement d’échéance de juin 2025 à septembre 2025 n’a pas fait évoluer les lignes de support de long terme que l’on peut discerner en pointillé sur le graphique. </w:t>
      </w:r>
    </w:p>
    <w:p w14:paraId="7AC4D2D2" w14:textId="0F09658C" w:rsidR="00DF072F" w:rsidRDefault="00041E45" w:rsidP="00B41C02">
      <w:pPr>
        <w:jc w:val="both"/>
        <w:rPr>
          <w:rFonts w:ascii="Tahoma" w:hAnsi="Tahoma" w:cs="Tahoma"/>
        </w:rPr>
      </w:pPr>
      <w:r>
        <w:rPr>
          <w:rFonts w:ascii="Tahoma" w:hAnsi="Tahoma" w:cs="Tahoma"/>
        </w:rPr>
        <w:t>L</w:t>
      </w:r>
      <w:r w:rsidR="001D06CE">
        <w:rPr>
          <w:rFonts w:ascii="Tahoma" w:hAnsi="Tahoma" w:cs="Tahoma"/>
        </w:rPr>
        <w:t xml:space="preserve">es nombreux twists du nuage </w:t>
      </w:r>
      <w:r w:rsidR="007F67EB">
        <w:rPr>
          <w:rFonts w:ascii="Tahoma" w:hAnsi="Tahoma" w:cs="Tahoma"/>
        </w:rPr>
        <w:t>m</w:t>
      </w:r>
      <w:r w:rsidR="001D06CE">
        <w:rPr>
          <w:rFonts w:ascii="Tahoma" w:hAnsi="Tahoma" w:cs="Tahoma"/>
        </w:rPr>
        <w:t xml:space="preserve">’ont amené il y a déjà plusieurs semaines de cela, à placer le contrat Bund au sein d’une dérive latérale hebdomadaire. </w:t>
      </w:r>
      <w:r w:rsidR="007F67EB">
        <w:rPr>
          <w:rFonts w:ascii="Tahoma" w:hAnsi="Tahoma" w:cs="Tahoma"/>
        </w:rPr>
        <w:t>Sur les</w:t>
      </w:r>
      <w:r w:rsidR="001D06CE">
        <w:rPr>
          <w:rFonts w:ascii="Tahoma" w:hAnsi="Tahoma" w:cs="Tahoma"/>
        </w:rPr>
        <w:t xml:space="preserve"> données hebdomadaire</w:t>
      </w:r>
      <w:r w:rsidR="007F67EB">
        <w:rPr>
          <w:rFonts w:ascii="Tahoma" w:hAnsi="Tahoma" w:cs="Tahoma"/>
        </w:rPr>
        <w:t>s</w:t>
      </w:r>
      <w:r w:rsidR="001D06CE">
        <w:rPr>
          <w:rFonts w:ascii="Tahoma" w:hAnsi="Tahoma" w:cs="Tahoma"/>
        </w:rPr>
        <w:t>, j’ai réajusté les bornes de la dérive latérale sur des niveaux plus adapté</w:t>
      </w:r>
      <w:r w:rsidR="007F67EB">
        <w:rPr>
          <w:rFonts w:ascii="Tahoma" w:hAnsi="Tahoma" w:cs="Tahoma"/>
        </w:rPr>
        <w:t>s</w:t>
      </w:r>
      <w:r w:rsidR="001D06CE">
        <w:rPr>
          <w:rFonts w:ascii="Tahoma" w:hAnsi="Tahoma" w:cs="Tahoma"/>
        </w:rPr>
        <w:t xml:space="preserve"> à l’évolution des prix. Ces modifications ne sont pas majeures. Ainsi la borne basse se situe sur 127.22 et la haute sur 138.14. La zone d’équilibre est quant à elle définie par un retracement de Fibonacci à 50% et se place sur 132.64.</w:t>
      </w:r>
    </w:p>
    <w:p w14:paraId="3CB1AE25" w14:textId="18BA4685" w:rsidR="001D06CE" w:rsidRDefault="001C19CE" w:rsidP="00B41C02">
      <w:pPr>
        <w:jc w:val="both"/>
        <w:rPr>
          <w:rFonts w:ascii="Tahoma" w:hAnsi="Tahoma" w:cs="Tahoma"/>
        </w:rPr>
      </w:pPr>
      <w:r>
        <w:rPr>
          <w:rFonts w:ascii="Tahoma" w:hAnsi="Tahoma" w:cs="Tahoma"/>
        </w:rPr>
        <w:t>La hausse qui a débuté en mars dernier sur la partie basse de la consolidation est pour le moment bloqué</w:t>
      </w:r>
      <w:r w:rsidR="007F67EB">
        <w:rPr>
          <w:rFonts w:ascii="Tahoma" w:hAnsi="Tahoma" w:cs="Tahoma"/>
        </w:rPr>
        <w:t>e</w:t>
      </w:r>
      <w:r>
        <w:rPr>
          <w:rFonts w:ascii="Tahoma" w:hAnsi="Tahoma" w:cs="Tahoma"/>
        </w:rPr>
        <w:t xml:space="preserve"> par la résistance </w:t>
      </w:r>
      <w:r w:rsidR="007F67EB">
        <w:rPr>
          <w:rFonts w:ascii="Tahoma" w:hAnsi="Tahoma" w:cs="Tahoma"/>
        </w:rPr>
        <w:t>intermédiaire</w:t>
      </w:r>
      <w:r>
        <w:rPr>
          <w:rFonts w:ascii="Tahoma" w:hAnsi="Tahoma" w:cs="Tahoma"/>
        </w:rPr>
        <w:t xml:space="preserve"> de 131.94. Il faudra attendre son dépassement pour envisager un retour sur le point d’équilibre de 132.64. Mais pour l</w:t>
      </w:r>
      <w:r w:rsidR="007F67EB">
        <w:rPr>
          <w:rFonts w:ascii="Tahoma" w:hAnsi="Tahoma" w:cs="Tahoma"/>
        </w:rPr>
        <w:t>’instant</w:t>
      </w:r>
      <w:r>
        <w:rPr>
          <w:rFonts w:ascii="Tahoma" w:hAnsi="Tahoma" w:cs="Tahoma"/>
        </w:rPr>
        <w:t>, le maintien du contrat sous ce point d’équilibre de 132.64 milite pour un retour dans la zone basse de la dérive latérale.</w:t>
      </w:r>
    </w:p>
    <w:p w14:paraId="1B6C4AA2" w14:textId="284B7687" w:rsidR="001C19CE" w:rsidRDefault="0005785F" w:rsidP="00B41C02">
      <w:pPr>
        <w:jc w:val="both"/>
        <w:rPr>
          <w:rFonts w:ascii="Tahoma" w:hAnsi="Tahoma" w:cs="Tahoma"/>
        </w:rPr>
      </w:pPr>
      <w:r>
        <w:rPr>
          <w:rFonts w:ascii="Tahoma" w:hAnsi="Tahoma" w:cs="Tahoma"/>
        </w:rPr>
        <w:t xml:space="preserve">Après un début de semaine positif, le contexte géopolitique a pris le dessus. La mèche haute du dernier chandelier, </w:t>
      </w:r>
      <w:r w:rsidR="007F67EB">
        <w:rPr>
          <w:rFonts w:ascii="Tahoma" w:hAnsi="Tahoma" w:cs="Tahoma"/>
        </w:rPr>
        <w:t>fige</w:t>
      </w:r>
      <w:r>
        <w:rPr>
          <w:rFonts w:ascii="Tahoma" w:hAnsi="Tahoma" w:cs="Tahoma"/>
        </w:rPr>
        <w:t xml:space="preserve"> une fois de plus le marché dans un environnement </w:t>
      </w:r>
      <w:r w:rsidR="00EA6125">
        <w:rPr>
          <w:rFonts w:ascii="Tahoma" w:hAnsi="Tahoma" w:cs="Tahoma"/>
        </w:rPr>
        <w:t>incertain.</w:t>
      </w:r>
    </w:p>
    <w:p w14:paraId="4B8F6CD5" w14:textId="020F1F53" w:rsidR="00EA6125" w:rsidRDefault="00EA6125" w:rsidP="00B41C02">
      <w:pPr>
        <w:jc w:val="both"/>
        <w:rPr>
          <w:rFonts w:ascii="Tahoma" w:hAnsi="Tahoma" w:cs="Tahoma"/>
        </w:rPr>
      </w:pPr>
      <w:r>
        <w:rPr>
          <w:rFonts w:ascii="Tahoma" w:hAnsi="Tahoma" w:cs="Tahoma"/>
        </w:rPr>
        <w:t>Cette incertitude demeurera tant que le contrat évoluera entre 129.04 et 131.94</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9228209" w:rsidR="00583BC8" w:rsidRDefault="006D118D" w:rsidP="00B41C02">
      <w:pPr>
        <w:jc w:val="both"/>
        <w:rPr>
          <w:rFonts w:ascii="Tahoma" w:hAnsi="Tahoma" w:cs="Tahoma"/>
        </w:rPr>
      </w:pPr>
      <w:r>
        <w:rPr>
          <w:noProof/>
        </w:rPr>
        <w:drawing>
          <wp:inline distT="0" distB="0" distL="0" distR="0" wp14:anchorId="1F4D4714" wp14:editId="4F79AE9F">
            <wp:extent cx="5760720" cy="4320540"/>
            <wp:effectExtent l="0" t="0" r="0" b="3810"/>
            <wp:docPr id="17052538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2608382F" w:rsidR="00467005" w:rsidRDefault="00EA6125" w:rsidP="00041E45">
      <w:pPr>
        <w:jc w:val="both"/>
        <w:rPr>
          <w:rFonts w:ascii="Tahoma" w:hAnsi="Tahoma" w:cs="Tahoma"/>
        </w:rPr>
      </w:pPr>
      <w:r>
        <w:rPr>
          <w:rFonts w:ascii="Tahoma" w:hAnsi="Tahoma" w:cs="Tahoma"/>
        </w:rPr>
        <w:t xml:space="preserve">Sur le court terme, le retour des prix </w:t>
      </w:r>
      <w:r w:rsidR="007F67EB">
        <w:rPr>
          <w:rFonts w:ascii="Tahoma" w:hAnsi="Tahoma" w:cs="Tahoma"/>
        </w:rPr>
        <w:t>au-dessus</w:t>
      </w:r>
      <w:r>
        <w:rPr>
          <w:rFonts w:ascii="Tahoma" w:hAnsi="Tahoma" w:cs="Tahoma"/>
        </w:rPr>
        <w:t xml:space="preserve"> du nuage </w:t>
      </w:r>
      <w:r w:rsidR="008B4750">
        <w:rPr>
          <w:rFonts w:ascii="Tahoma" w:hAnsi="Tahoma" w:cs="Tahoma"/>
        </w:rPr>
        <w:t xml:space="preserve">a </w:t>
      </w:r>
      <w:r>
        <w:rPr>
          <w:rFonts w:ascii="Tahoma" w:hAnsi="Tahoma" w:cs="Tahoma"/>
        </w:rPr>
        <w:t>donn</w:t>
      </w:r>
      <w:r w:rsidR="008B4750">
        <w:rPr>
          <w:rFonts w:ascii="Tahoma" w:hAnsi="Tahoma" w:cs="Tahoma"/>
        </w:rPr>
        <w:t>é</w:t>
      </w:r>
      <w:r>
        <w:rPr>
          <w:rFonts w:ascii="Tahoma" w:hAnsi="Tahoma" w:cs="Tahoma"/>
        </w:rPr>
        <w:t xml:space="preserve"> un avantage à la hausse. Mais, vendredi, </w:t>
      </w:r>
      <w:r w:rsidR="007F67EB">
        <w:rPr>
          <w:rFonts w:ascii="Tahoma" w:hAnsi="Tahoma" w:cs="Tahoma"/>
        </w:rPr>
        <w:t>les craintes géopolitiques</w:t>
      </w:r>
      <w:r>
        <w:rPr>
          <w:rFonts w:ascii="Tahoma" w:hAnsi="Tahoma" w:cs="Tahoma"/>
        </w:rPr>
        <w:t xml:space="preserve"> </w:t>
      </w:r>
      <w:r w:rsidR="00300002">
        <w:rPr>
          <w:rFonts w:ascii="Tahoma" w:hAnsi="Tahoma" w:cs="Tahoma"/>
        </w:rPr>
        <w:t xml:space="preserve">ont ramené les cours sur la bordure haute du nuage. La LS qui s’était </w:t>
      </w:r>
      <w:r w:rsidR="003E6CA0">
        <w:rPr>
          <w:rFonts w:ascii="Tahoma" w:hAnsi="Tahoma" w:cs="Tahoma"/>
        </w:rPr>
        <w:t>affranchie de sa barrière de prix est revenu</w:t>
      </w:r>
      <w:r w:rsidR="008B4750">
        <w:rPr>
          <w:rFonts w:ascii="Tahoma" w:hAnsi="Tahoma" w:cs="Tahoma"/>
        </w:rPr>
        <w:t>e</w:t>
      </w:r>
      <w:r w:rsidR="003E6CA0">
        <w:rPr>
          <w:rFonts w:ascii="Tahoma" w:hAnsi="Tahoma" w:cs="Tahoma"/>
        </w:rPr>
        <w:t xml:space="preserve"> </w:t>
      </w:r>
      <w:r w:rsidR="008B4750">
        <w:rPr>
          <w:rFonts w:ascii="Tahoma" w:hAnsi="Tahoma" w:cs="Tahoma"/>
        </w:rPr>
        <w:t>sur</w:t>
      </w:r>
      <w:r w:rsidR="003E6CA0">
        <w:rPr>
          <w:rFonts w:ascii="Tahoma" w:hAnsi="Tahoma" w:cs="Tahoma"/>
        </w:rPr>
        <w:t xml:space="preserve"> niveau des cours d’il y a 26 jours. Cette action </w:t>
      </w:r>
      <w:r w:rsidR="00C31D0C">
        <w:rPr>
          <w:rFonts w:ascii="Tahoma" w:hAnsi="Tahoma" w:cs="Tahoma"/>
        </w:rPr>
        <w:t xml:space="preserve">entrave </w:t>
      </w:r>
      <w:r w:rsidR="003E6CA0">
        <w:rPr>
          <w:rFonts w:ascii="Tahoma" w:hAnsi="Tahoma" w:cs="Tahoma"/>
        </w:rPr>
        <w:t xml:space="preserve">le potentiel haussier </w:t>
      </w:r>
      <w:r w:rsidR="004975EA">
        <w:rPr>
          <w:rFonts w:ascii="Tahoma" w:hAnsi="Tahoma" w:cs="Tahoma"/>
        </w:rPr>
        <w:t>du marché</w:t>
      </w:r>
      <w:r w:rsidR="00C31D0C">
        <w:rPr>
          <w:rFonts w:ascii="Tahoma" w:hAnsi="Tahoma" w:cs="Tahoma"/>
        </w:rPr>
        <w:t xml:space="preserve"> qui évolue toujours sous la résistance intermédiaire de 131.94.</w:t>
      </w:r>
    </w:p>
    <w:p w14:paraId="1849F66B" w14:textId="677D49B2" w:rsidR="00C31D0C" w:rsidRDefault="00C31D0C" w:rsidP="00041E45">
      <w:pPr>
        <w:jc w:val="both"/>
        <w:rPr>
          <w:rFonts w:ascii="Tahoma" w:hAnsi="Tahoma" w:cs="Tahoma"/>
        </w:rPr>
      </w:pPr>
      <w:r>
        <w:rPr>
          <w:rFonts w:ascii="Tahoma" w:hAnsi="Tahoma" w:cs="Tahoma"/>
        </w:rPr>
        <w:t>La dernière chandelle matérialise un avalement baissier qui se classe dans les figures de retournement. Cette chandelle pourrait mettre un terme à la hausse qui a débuté sur 129.04.</w:t>
      </w:r>
    </w:p>
    <w:p w14:paraId="10BB9766" w14:textId="67BB4016" w:rsidR="00723F77" w:rsidRDefault="00C31D0C" w:rsidP="00041E45">
      <w:pPr>
        <w:jc w:val="both"/>
        <w:rPr>
          <w:rFonts w:ascii="Tahoma" w:hAnsi="Tahoma" w:cs="Tahoma"/>
        </w:rPr>
      </w:pPr>
      <w:r>
        <w:rPr>
          <w:rFonts w:ascii="Tahoma" w:hAnsi="Tahoma" w:cs="Tahoma"/>
        </w:rPr>
        <w:t xml:space="preserve">Un retour des prix </w:t>
      </w:r>
      <w:r w:rsidR="007F67EB">
        <w:rPr>
          <w:rFonts w:ascii="Tahoma" w:hAnsi="Tahoma" w:cs="Tahoma"/>
        </w:rPr>
        <w:t>au-dessus</w:t>
      </w:r>
      <w:r>
        <w:rPr>
          <w:rFonts w:ascii="Tahoma" w:hAnsi="Tahoma" w:cs="Tahoma"/>
        </w:rPr>
        <w:t xml:space="preserve"> de 131.14 sera </w:t>
      </w:r>
      <w:r w:rsidR="007F67EB">
        <w:rPr>
          <w:rFonts w:ascii="Tahoma" w:hAnsi="Tahoma" w:cs="Tahoma"/>
        </w:rPr>
        <w:t>nécessaire</w:t>
      </w:r>
      <w:r>
        <w:rPr>
          <w:rFonts w:ascii="Tahoma" w:hAnsi="Tahoma" w:cs="Tahoma"/>
        </w:rPr>
        <w:t xml:space="preserve"> pour atténuer l’impact négatif de cette bougie sur </w:t>
      </w:r>
      <w:r w:rsidR="00176DA8">
        <w:rPr>
          <w:rFonts w:ascii="Tahoma" w:hAnsi="Tahoma" w:cs="Tahoma"/>
        </w:rPr>
        <w:t>les futurs échanges</w:t>
      </w:r>
      <w:r>
        <w:rPr>
          <w:rFonts w:ascii="Tahoma" w:hAnsi="Tahoma" w:cs="Tahoma"/>
        </w:rPr>
        <w:t>. Sans ce retour, une poursuite de la baisse trouvera en premier support les plats de SSB compris entre 129.60 et 129.50.</w:t>
      </w:r>
    </w:p>
    <w:p w14:paraId="465767D8" w14:textId="77777777" w:rsidR="00AD4C43" w:rsidRDefault="00AD4C43" w:rsidP="00041E45">
      <w:pPr>
        <w:jc w:val="both"/>
        <w:rPr>
          <w:rFonts w:ascii="Tahoma" w:hAnsi="Tahoma" w:cs="Tahoma"/>
        </w:rPr>
      </w:pPr>
    </w:p>
    <w:p w14:paraId="6E428007" w14:textId="22379CDE"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C743E5">
        <w:rPr>
          <w:rFonts w:ascii="Tahoma" w:hAnsi="Tahoma" w:cs="Tahoma"/>
        </w:rPr>
        <w:t xml:space="preserve"> Pour envisager la hausse, le contrat devra s’affranchir de la résistance intermédiaire de 131.94. Le contexte géopolitique s’est traduit par une baisse des prix. Cette dernière se poursuivra en maintien des cours sous 131.14, avec en cible 129.60/50 avant 129.04.</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5785F"/>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6DA8"/>
    <w:rsid w:val="00190995"/>
    <w:rsid w:val="001A4796"/>
    <w:rsid w:val="001C19CE"/>
    <w:rsid w:val="001D06CE"/>
    <w:rsid w:val="001D474B"/>
    <w:rsid w:val="001F650A"/>
    <w:rsid w:val="002003AD"/>
    <w:rsid w:val="002421FE"/>
    <w:rsid w:val="00262E25"/>
    <w:rsid w:val="00263ED0"/>
    <w:rsid w:val="002A1F8E"/>
    <w:rsid w:val="002B5CB1"/>
    <w:rsid w:val="002C0A31"/>
    <w:rsid w:val="002F54B0"/>
    <w:rsid w:val="00300002"/>
    <w:rsid w:val="00303214"/>
    <w:rsid w:val="0030643B"/>
    <w:rsid w:val="00337611"/>
    <w:rsid w:val="00340FD9"/>
    <w:rsid w:val="00352DD9"/>
    <w:rsid w:val="003767E0"/>
    <w:rsid w:val="00397D3D"/>
    <w:rsid w:val="003E6CA0"/>
    <w:rsid w:val="0040171B"/>
    <w:rsid w:val="00467005"/>
    <w:rsid w:val="004975EA"/>
    <w:rsid w:val="004A2D2D"/>
    <w:rsid w:val="004A5154"/>
    <w:rsid w:val="004F48EE"/>
    <w:rsid w:val="00531928"/>
    <w:rsid w:val="005440A4"/>
    <w:rsid w:val="00546A5A"/>
    <w:rsid w:val="00566580"/>
    <w:rsid w:val="00567AF3"/>
    <w:rsid w:val="00583BC8"/>
    <w:rsid w:val="00654380"/>
    <w:rsid w:val="00664BE1"/>
    <w:rsid w:val="006B055C"/>
    <w:rsid w:val="006D118D"/>
    <w:rsid w:val="006E32BB"/>
    <w:rsid w:val="006E38E0"/>
    <w:rsid w:val="00710599"/>
    <w:rsid w:val="00723F77"/>
    <w:rsid w:val="00744696"/>
    <w:rsid w:val="00772067"/>
    <w:rsid w:val="0077545D"/>
    <w:rsid w:val="007A0A4B"/>
    <w:rsid w:val="007A0E6C"/>
    <w:rsid w:val="007B1237"/>
    <w:rsid w:val="007B4D28"/>
    <w:rsid w:val="007B661D"/>
    <w:rsid w:val="007D19FF"/>
    <w:rsid w:val="007D2085"/>
    <w:rsid w:val="007D4181"/>
    <w:rsid w:val="007F67EB"/>
    <w:rsid w:val="0083454A"/>
    <w:rsid w:val="00837B38"/>
    <w:rsid w:val="00896554"/>
    <w:rsid w:val="008A7407"/>
    <w:rsid w:val="008B4750"/>
    <w:rsid w:val="008F10C2"/>
    <w:rsid w:val="00902D2F"/>
    <w:rsid w:val="00961FDF"/>
    <w:rsid w:val="00983B7D"/>
    <w:rsid w:val="009A37C2"/>
    <w:rsid w:val="009F3AB8"/>
    <w:rsid w:val="00A11606"/>
    <w:rsid w:val="00A6401C"/>
    <w:rsid w:val="00A81AB7"/>
    <w:rsid w:val="00AA522C"/>
    <w:rsid w:val="00AD4C43"/>
    <w:rsid w:val="00AE7F3B"/>
    <w:rsid w:val="00B34260"/>
    <w:rsid w:val="00B41C02"/>
    <w:rsid w:val="00B4335A"/>
    <w:rsid w:val="00B50E38"/>
    <w:rsid w:val="00B554B8"/>
    <w:rsid w:val="00B64EE0"/>
    <w:rsid w:val="00B94D71"/>
    <w:rsid w:val="00BB0E32"/>
    <w:rsid w:val="00BB6D9D"/>
    <w:rsid w:val="00BC77A5"/>
    <w:rsid w:val="00BD3FC1"/>
    <w:rsid w:val="00C17ED7"/>
    <w:rsid w:val="00C31D0C"/>
    <w:rsid w:val="00C41F15"/>
    <w:rsid w:val="00C66FFA"/>
    <w:rsid w:val="00C70171"/>
    <w:rsid w:val="00C70A68"/>
    <w:rsid w:val="00C743E5"/>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A6125"/>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3</Pages>
  <Words>517</Words>
  <Characters>2845</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2025-06-14T13:14:00Z</dcterms:modified>
</cp:coreProperties>
</file>