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93623B3" w:rsidR="00902D2F" w:rsidRDefault="00B1506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2F6939D" wp14:editId="16DDC8F7">
            <wp:extent cx="5760720" cy="4320540"/>
            <wp:effectExtent l="0" t="0" r="0" b="3810"/>
            <wp:docPr id="15957974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191B3C3A" w:rsidR="001705F4" w:rsidRDefault="008E461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reste en faveur de la hausse sur le moyen terme mais </w:t>
      </w:r>
      <w:r w:rsidR="00C35260">
        <w:rPr>
          <w:rFonts w:ascii="Tahoma" w:hAnsi="Tahoma" w:cs="Tahoma"/>
        </w:rPr>
        <w:t xml:space="preserve">comme </w:t>
      </w:r>
      <w:r>
        <w:rPr>
          <w:rFonts w:ascii="Tahoma" w:hAnsi="Tahoma" w:cs="Tahoma"/>
        </w:rPr>
        <w:t>je le précisais précédemment, la dynamique de hausse n’est plus là.</w:t>
      </w:r>
    </w:p>
    <w:p w14:paraId="24E948F6" w14:textId="0C50C457" w:rsidR="008E461A" w:rsidRDefault="008E461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de la semaine dernière s’est prolongée avec </w:t>
      </w:r>
      <w:r w:rsidR="009731A5">
        <w:rPr>
          <w:rFonts w:ascii="Tahoma" w:hAnsi="Tahoma" w:cs="Tahoma"/>
        </w:rPr>
        <w:t>une amplitude</w:t>
      </w:r>
      <w:r>
        <w:rPr>
          <w:rFonts w:ascii="Tahoma" w:hAnsi="Tahoma" w:cs="Tahoma"/>
        </w:rPr>
        <w:t xml:space="preserve"> moins forte.</w:t>
      </w:r>
      <w:r w:rsidR="009B437C">
        <w:rPr>
          <w:rFonts w:ascii="Tahoma" w:hAnsi="Tahoma" w:cs="Tahoma"/>
        </w:rPr>
        <w:t xml:space="preserve"> </w:t>
      </w:r>
    </w:p>
    <w:p w14:paraId="3BFCCDFB" w14:textId="04613092" w:rsidR="009B437C" w:rsidRDefault="009B437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se prolonge sur 5054. Il sert </w:t>
      </w:r>
      <w:r w:rsidR="00C35260">
        <w:rPr>
          <w:rFonts w:ascii="Tahoma" w:hAnsi="Tahoma" w:cs="Tahoma"/>
        </w:rPr>
        <w:t xml:space="preserve">actuellement </w:t>
      </w:r>
      <w:r>
        <w:rPr>
          <w:rFonts w:ascii="Tahoma" w:hAnsi="Tahoma" w:cs="Tahoma"/>
        </w:rPr>
        <w:t xml:space="preserve">de force de rappel et servira de support en cas de poursuite de la baisse. </w:t>
      </w:r>
    </w:p>
    <w:p w14:paraId="41EE6B07" w14:textId="1D7C6C74" w:rsidR="009B437C" w:rsidRDefault="009B437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L’environnement géopolitique m’</w:t>
      </w:r>
      <w:r w:rsidR="009731A5">
        <w:rPr>
          <w:rFonts w:ascii="Tahoma" w:hAnsi="Tahoma" w:cs="Tahoma"/>
        </w:rPr>
        <w:t>amène</w:t>
      </w:r>
      <w:r>
        <w:rPr>
          <w:rFonts w:ascii="Tahoma" w:hAnsi="Tahoma" w:cs="Tahoma"/>
        </w:rPr>
        <w:t xml:space="preserve"> à envisager une baisse </w:t>
      </w:r>
      <w:r w:rsidR="00C35260">
        <w:rPr>
          <w:rFonts w:ascii="Tahoma" w:hAnsi="Tahoma" w:cs="Tahoma"/>
        </w:rPr>
        <w:t xml:space="preserve">de valeur </w:t>
      </w:r>
      <w:r>
        <w:rPr>
          <w:rFonts w:ascii="Tahoma" w:hAnsi="Tahoma" w:cs="Tahoma"/>
        </w:rPr>
        <w:t xml:space="preserve">des actifs risqués cette semaine plus importante que le plat de KS. Dans ce contexte, le plat de SSB future </w:t>
      </w:r>
      <w:r w:rsidR="00C35260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5021 sera envisagé avant le plat de SSB de 4751.</w:t>
      </w:r>
    </w:p>
    <w:p w14:paraId="5AFD9737" w14:textId="77777777" w:rsidR="008E461A" w:rsidRDefault="008E461A" w:rsidP="00263ED0">
      <w:pPr>
        <w:jc w:val="both"/>
        <w:rPr>
          <w:rFonts w:ascii="Tahoma" w:hAnsi="Tahoma" w:cs="Tahoma"/>
        </w:rPr>
      </w:pP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EBB7DDA" w:rsidR="00583BC8" w:rsidRDefault="00B15068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1277939" wp14:editId="439087A6">
            <wp:extent cx="5760720" cy="4320540"/>
            <wp:effectExtent l="0" t="0" r="0" b="3810"/>
            <wp:docPr id="197273538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12E0039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132D6C">
        <w:rPr>
          <w:rFonts w:ascii="Tahoma" w:hAnsi="Tahoma" w:cs="Tahoma"/>
        </w:rPr>
        <w:t>e court terme reste aussi haussier mais l’indice se rapproche de son nuage alors que la LS s’est établie sous les cours.</w:t>
      </w:r>
    </w:p>
    <w:p w14:paraId="2D315655" w14:textId="41340E8A" w:rsidR="00132D6C" w:rsidRDefault="00132D6C" w:rsidP="004E1F00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logique de l’inversion des polarités va nous permettre d’envisager la suite. En effet, la cassure du bas de 5252 de la fin du mois de mai, a favorisé le biais baissier. Ce support devenu résistance maintiendra ce biais baissier tant que l’indice ne parviendra pas à s’établir </w:t>
      </w:r>
      <w:r w:rsidR="009731A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niveau.</w:t>
      </w:r>
      <w:r w:rsidR="004E1F00">
        <w:rPr>
          <w:rFonts w:ascii="Tahoma" w:hAnsi="Tahoma" w:cs="Tahoma"/>
        </w:rPr>
        <w:t xml:space="preserve"> Dans cette éventualité, la poursuite de la baisse trouvera un support sur le 5054.</w:t>
      </w:r>
    </w:p>
    <w:p w14:paraId="1EF79C97" w14:textId="4E47C112" w:rsidR="004E1F00" w:rsidRDefault="00C3526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point</w:t>
      </w:r>
      <w:r w:rsidR="004E1F00">
        <w:rPr>
          <w:rFonts w:ascii="Tahoma" w:hAnsi="Tahoma" w:cs="Tahoma"/>
        </w:rPr>
        <w:t xml:space="preserve"> sera à mettre en relation avec le plat de KS de moyen terme sur le même niveau.</w:t>
      </w:r>
    </w:p>
    <w:p w14:paraId="6EB38F2E" w14:textId="7988C61D" w:rsidR="00A261D5" w:rsidRDefault="004E1F00" w:rsidP="00A261D5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L’évolution de l’indicateur technique que j’utilise (Stochastique) montre qu’historiquement l’arrivée en zone de survente se </w:t>
      </w:r>
      <w:r w:rsidR="00A261D5">
        <w:rPr>
          <w:rFonts w:ascii="Tahoma" w:hAnsi="Tahoma" w:cs="Tahoma"/>
        </w:rPr>
        <w:t>traduit par un rebond des prix.</w:t>
      </w:r>
    </w:p>
    <w:p w14:paraId="24F20895" w14:textId="685C9BED" w:rsidR="00A261D5" w:rsidRDefault="00A261D5" w:rsidP="00A261D5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Hors contexte géopolitique, cela pourrait limiter le mouvement de baisse aux plats de 5054.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50CCF14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261D5">
        <w:rPr>
          <w:rFonts w:ascii="Tahoma" w:hAnsi="Tahoma" w:cs="Tahoma"/>
        </w:rPr>
        <w:t xml:space="preserve"> Sous 5252, poursuite de la baisse envisagée. 5054 sera le premier support pertinent avant 4751.</w:t>
      </w:r>
    </w:p>
    <w:p w14:paraId="5F2F6F60" w14:textId="77777777" w:rsidR="007D14EC" w:rsidRDefault="007D14EC" w:rsidP="00041E45">
      <w:pPr>
        <w:jc w:val="both"/>
        <w:rPr>
          <w:rFonts w:ascii="Tahoma" w:hAnsi="Tahoma" w:cs="Tahoma"/>
        </w:rPr>
      </w:pPr>
    </w:p>
    <w:p w14:paraId="14B2884A" w14:textId="77777777" w:rsidR="007D14EC" w:rsidRDefault="007D14EC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2D6C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4E1F00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4EC"/>
    <w:rsid w:val="007D19FF"/>
    <w:rsid w:val="007D2085"/>
    <w:rsid w:val="0083454A"/>
    <w:rsid w:val="00835AC6"/>
    <w:rsid w:val="00837B38"/>
    <w:rsid w:val="00896554"/>
    <w:rsid w:val="008A7407"/>
    <w:rsid w:val="008E461A"/>
    <w:rsid w:val="008F10C2"/>
    <w:rsid w:val="00902D2F"/>
    <w:rsid w:val="00961FDF"/>
    <w:rsid w:val="009731A5"/>
    <w:rsid w:val="00983B7D"/>
    <w:rsid w:val="009A37C2"/>
    <w:rsid w:val="009B437C"/>
    <w:rsid w:val="009E3325"/>
    <w:rsid w:val="009F3AB8"/>
    <w:rsid w:val="00A11606"/>
    <w:rsid w:val="00A261D5"/>
    <w:rsid w:val="00A6401C"/>
    <w:rsid w:val="00A81AB7"/>
    <w:rsid w:val="00AE7F3B"/>
    <w:rsid w:val="00B15068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35260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174F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3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2025-06-22T14:50:00Z</dcterms:modified>
</cp:coreProperties>
</file>