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F7EC2" w14:textId="6339F2D8" w:rsidR="00902D2F"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7420A744" w14:textId="0A1B38F5" w:rsidR="002B5219" w:rsidRPr="002B5219" w:rsidRDefault="002B5219" w:rsidP="00B41C02">
      <w:pPr>
        <w:jc w:val="both"/>
        <w:rPr>
          <w:rFonts w:ascii="Tahoma" w:hAnsi="Tahoma" w:cs="Tahoma"/>
          <w:sz w:val="32"/>
          <w:szCs w:val="32"/>
          <w:u w:val="single"/>
        </w:rPr>
      </w:pPr>
      <w:r w:rsidRPr="002B5219">
        <w:rPr>
          <w:rFonts w:ascii="Tahoma" w:hAnsi="Tahoma" w:cs="Tahoma"/>
          <w:sz w:val="32"/>
          <w:szCs w:val="32"/>
          <w:u w:val="single"/>
        </w:rPr>
        <w:t>Month</w:t>
      </w:r>
    </w:p>
    <w:p w14:paraId="2862B446" w14:textId="1B8A319A" w:rsidR="00902D2F" w:rsidRDefault="00D47E87" w:rsidP="00B41C02">
      <w:pPr>
        <w:jc w:val="both"/>
        <w:rPr>
          <w:rFonts w:ascii="Tahoma" w:hAnsi="Tahoma" w:cs="Tahoma"/>
        </w:rPr>
      </w:pPr>
      <w:r>
        <w:rPr>
          <w:noProof/>
        </w:rPr>
        <w:drawing>
          <wp:inline distT="0" distB="0" distL="0" distR="0" wp14:anchorId="706A0108" wp14:editId="4AF9A70E">
            <wp:extent cx="5760720" cy="4320540"/>
            <wp:effectExtent l="0" t="0" r="0" b="3810"/>
            <wp:docPr id="13611686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ABFF98B" w14:textId="77777777" w:rsidR="00671817" w:rsidRDefault="00BB6D9D" w:rsidP="00B41C02">
      <w:pPr>
        <w:jc w:val="both"/>
        <w:rPr>
          <w:rFonts w:ascii="Tahoma" w:hAnsi="Tahoma" w:cs="Tahoma"/>
        </w:rPr>
      </w:pPr>
      <w:r>
        <w:rPr>
          <w:rFonts w:ascii="Tahoma" w:hAnsi="Tahoma" w:cs="Tahoma"/>
        </w:rPr>
        <w:t xml:space="preserve"> </w:t>
      </w:r>
      <w:r w:rsidR="000739B0">
        <w:rPr>
          <w:rFonts w:ascii="Tahoma" w:hAnsi="Tahoma" w:cs="Tahoma"/>
        </w:rPr>
        <w:t>Pas de changement d’un mois sur l’autre. Le contrat Bund décembre 2025 évolue à long terme dans un environnement baissier où cours et LS évoluent sous leur nuage respectif.</w:t>
      </w:r>
    </w:p>
    <w:p w14:paraId="7AC4D2D2" w14:textId="68B2BDB4" w:rsidR="00DF072F" w:rsidRDefault="00671817" w:rsidP="00B41C02">
      <w:pPr>
        <w:jc w:val="both"/>
        <w:rPr>
          <w:rFonts w:ascii="Tahoma" w:hAnsi="Tahoma" w:cs="Tahoma"/>
        </w:rPr>
      </w:pPr>
      <w:r>
        <w:rPr>
          <w:rFonts w:ascii="Tahoma" w:hAnsi="Tahoma" w:cs="Tahoma"/>
        </w:rPr>
        <w:t>Sur cette unité de temps, les supports majeurs ainsi que les résistances sont définis par des plats passés. En support, il y a 126.43 et 121.01 qui matérialisent respectivement un plat de SSB et un plat de KS.</w:t>
      </w:r>
      <w:r w:rsidR="009E7B62">
        <w:rPr>
          <w:rFonts w:ascii="Tahoma" w:hAnsi="Tahoma" w:cs="Tahoma"/>
        </w:rPr>
        <w:t xml:space="preserve"> </w:t>
      </w:r>
      <w:r w:rsidR="003B7CE8">
        <w:rPr>
          <w:rFonts w:ascii="Tahoma" w:hAnsi="Tahoma" w:cs="Tahoma"/>
        </w:rPr>
        <w:t>Deux</w:t>
      </w:r>
      <w:r w:rsidR="009E7B62">
        <w:rPr>
          <w:rFonts w:ascii="Tahoma" w:hAnsi="Tahoma" w:cs="Tahoma"/>
        </w:rPr>
        <w:t xml:space="preserve"> plats de KS </w:t>
      </w:r>
      <w:r w:rsidR="003B7CE8">
        <w:rPr>
          <w:rFonts w:ascii="Tahoma" w:hAnsi="Tahoma" w:cs="Tahoma"/>
        </w:rPr>
        <w:t>sur 136.01 et 145.13 serviront de résistance.</w:t>
      </w:r>
    </w:p>
    <w:p w14:paraId="0F73CCF6" w14:textId="7A5D80B0" w:rsidR="003B7CE8" w:rsidRDefault="003B7CE8" w:rsidP="00B41C02">
      <w:pPr>
        <w:jc w:val="both"/>
        <w:rPr>
          <w:rFonts w:ascii="Tahoma" w:hAnsi="Tahoma" w:cs="Tahoma"/>
        </w:rPr>
      </w:pPr>
      <w:r>
        <w:rPr>
          <w:rFonts w:ascii="Tahoma" w:hAnsi="Tahoma" w:cs="Tahoma"/>
        </w:rPr>
        <w:t xml:space="preserve">Actuellement le contrat évolue sans </w:t>
      </w:r>
      <w:r w:rsidR="002B46F1">
        <w:rPr>
          <w:rFonts w:ascii="Tahoma" w:hAnsi="Tahoma" w:cs="Tahoma"/>
        </w:rPr>
        <w:t>véritable</w:t>
      </w:r>
      <w:r>
        <w:rPr>
          <w:rFonts w:ascii="Tahoma" w:hAnsi="Tahoma" w:cs="Tahoma"/>
        </w:rPr>
        <w:t xml:space="preserve"> dynamique entre 126.43 et 136.01.</w:t>
      </w:r>
    </w:p>
    <w:p w14:paraId="6A63A1FD" w14:textId="23E82139" w:rsidR="002B62DD" w:rsidRDefault="002B62DD" w:rsidP="00B41C02">
      <w:pPr>
        <w:jc w:val="both"/>
        <w:rPr>
          <w:rFonts w:ascii="Tahoma" w:hAnsi="Tahoma" w:cs="Tahoma"/>
        </w:rPr>
      </w:pPr>
      <w:r>
        <w:rPr>
          <w:rFonts w:ascii="Tahoma" w:hAnsi="Tahoma" w:cs="Tahoma"/>
        </w:rPr>
        <w:t xml:space="preserve">La taille réduite des chandelles confirme l’absence de directionnel ainsi que </w:t>
      </w:r>
      <w:r w:rsidR="00C44F07">
        <w:rPr>
          <w:rFonts w:ascii="Tahoma" w:hAnsi="Tahoma" w:cs="Tahoma"/>
        </w:rPr>
        <w:t>le manque de conviction des intervenants.</w:t>
      </w:r>
    </w:p>
    <w:p w14:paraId="24D78FC2" w14:textId="52189E75" w:rsidR="002B5496" w:rsidRDefault="002B5496" w:rsidP="00B41C02">
      <w:pPr>
        <w:jc w:val="both"/>
        <w:rPr>
          <w:rFonts w:ascii="Tahoma" w:hAnsi="Tahoma" w:cs="Tahoma"/>
        </w:rPr>
      </w:pPr>
      <w:r>
        <w:rPr>
          <w:rFonts w:ascii="Tahoma" w:hAnsi="Tahoma" w:cs="Tahoma"/>
        </w:rPr>
        <w:t>Le plat de KS de 131.82 sera un autre obstacle dans l’éventualité d’un retour d’un courant acheteur.</w:t>
      </w:r>
    </w:p>
    <w:p w14:paraId="2112BF88" w14:textId="77777777" w:rsidR="002B5219" w:rsidRDefault="002B5219" w:rsidP="00B41C02">
      <w:pPr>
        <w:jc w:val="both"/>
        <w:rPr>
          <w:rFonts w:ascii="Tahoma" w:hAnsi="Tahoma" w:cs="Tahoma"/>
        </w:rPr>
      </w:pPr>
    </w:p>
    <w:p w14:paraId="308997E5" w14:textId="77777777" w:rsidR="002B5219" w:rsidRDefault="002B5219" w:rsidP="00B41C02">
      <w:pPr>
        <w:jc w:val="both"/>
        <w:rPr>
          <w:rFonts w:ascii="Tahoma" w:hAnsi="Tahoma" w:cs="Tahoma"/>
        </w:rPr>
      </w:pPr>
    </w:p>
    <w:p w14:paraId="5115E09E" w14:textId="77777777" w:rsidR="002B5219" w:rsidRDefault="002B5219" w:rsidP="00B41C02">
      <w:pPr>
        <w:jc w:val="both"/>
        <w:rPr>
          <w:rFonts w:ascii="Tahoma" w:hAnsi="Tahoma" w:cs="Tahoma"/>
        </w:rPr>
      </w:pPr>
    </w:p>
    <w:p w14:paraId="1166E732" w14:textId="77777777" w:rsidR="002B5219" w:rsidRPr="00041E45" w:rsidRDefault="002B5219" w:rsidP="002B5219">
      <w:pPr>
        <w:jc w:val="both"/>
        <w:rPr>
          <w:rFonts w:ascii="Tahoma" w:hAnsi="Tahoma" w:cs="Tahoma"/>
          <w:sz w:val="32"/>
          <w:szCs w:val="32"/>
          <w:u w:val="single"/>
        </w:rPr>
      </w:pPr>
      <w:r w:rsidRPr="00041E45">
        <w:rPr>
          <w:rFonts w:ascii="Tahoma" w:hAnsi="Tahoma" w:cs="Tahoma"/>
          <w:sz w:val="32"/>
          <w:szCs w:val="32"/>
          <w:u w:val="single"/>
        </w:rPr>
        <w:lastRenderedPageBreak/>
        <w:t>Week</w:t>
      </w:r>
    </w:p>
    <w:p w14:paraId="33C027BB" w14:textId="6AC26B02" w:rsidR="002B5219" w:rsidRDefault="00D47E87" w:rsidP="002B5219">
      <w:pPr>
        <w:jc w:val="both"/>
        <w:rPr>
          <w:rFonts w:ascii="Tahoma" w:hAnsi="Tahoma" w:cs="Tahoma"/>
        </w:rPr>
      </w:pPr>
      <w:r>
        <w:rPr>
          <w:noProof/>
        </w:rPr>
        <w:drawing>
          <wp:inline distT="0" distB="0" distL="0" distR="0" wp14:anchorId="3AE315A3" wp14:editId="37C1797B">
            <wp:extent cx="5760720" cy="4320540"/>
            <wp:effectExtent l="0" t="0" r="0" b="3810"/>
            <wp:docPr id="13206751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DC0FE1B" w14:textId="77777777" w:rsidR="002B5219" w:rsidRDefault="002B5219" w:rsidP="002B5219">
      <w:pPr>
        <w:jc w:val="both"/>
        <w:rPr>
          <w:rFonts w:ascii="Tahoma" w:hAnsi="Tahoma" w:cs="Tahoma"/>
        </w:rPr>
      </w:pPr>
    </w:p>
    <w:p w14:paraId="1FE15576" w14:textId="4037CA0D" w:rsidR="002B5219" w:rsidRDefault="002B5219" w:rsidP="002B5219">
      <w:pPr>
        <w:jc w:val="both"/>
        <w:rPr>
          <w:rFonts w:ascii="Tahoma" w:hAnsi="Tahoma" w:cs="Tahoma"/>
        </w:rPr>
      </w:pPr>
      <w:r>
        <w:rPr>
          <w:rFonts w:ascii="Tahoma" w:hAnsi="Tahoma" w:cs="Tahoma"/>
        </w:rPr>
        <w:t xml:space="preserve"> </w:t>
      </w:r>
      <w:r w:rsidR="00751BB1">
        <w:rPr>
          <w:rFonts w:ascii="Tahoma" w:hAnsi="Tahoma" w:cs="Tahoma"/>
        </w:rPr>
        <w:t>Sur le moyen terme, les twists successifs m’ont amené à placer le contrat Bund dans une logique de consolidation. Les bornes ont été définies la dernière fois entre 126.43 et 136.01. Ces points reprennent les données de long terme évoquées précédemment.</w:t>
      </w:r>
    </w:p>
    <w:p w14:paraId="3301EB11" w14:textId="3CAA7FB4" w:rsidR="00682F24" w:rsidRDefault="00682F24" w:rsidP="002B5219">
      <w:pPr>
        <w:jc w:val="both"/>
        <w:rPr>
          <w:rFonts w:ascii="Tahoma" w:hAnsi="Tahoma" w:cs="Tahoma"/>
        </w:rPr>
      </w:pPr>
      <w:r>
        <w:rPr>
          <w:rFonts w:ascii="Tahoma" w:hAnsi="Tahoma" w:cs="Tahoma"/>
        </w:rPr>
        <w:t xml:space="preserve">La zone neutre sera comprise entre le plat de SSB futur de </w:t>
      </w:r>
      <w:r w:rsidR="005534BD">
        <w:rPr>
          <w:rFonts w:ascii="Tahoma" w:hAnsi="Tahoma" w:cs="Tahoma"/>
        </w:rPr>
        <w:t>130.60 et la résistance de 130.97.</w:t>
      </w:r>
    </w:p>
    <w:p w14:paraId="22E219BB" w14:textId="52CA4B5F" w:rsidR="005534BD" w:rsidRDefault="005534BD" w:rsidP="002B5219">
      <w:pPr>
        <w:jc w:val="both"/>
        <w:rPr>
          <w:rFonts w:ascii="Tahoma" w:hAnsi="Tahoma" w:cs="Tahoma"/>
        </w:rPr>
      </w:pPr>
      <w:r>
        <w:rPr>
          <w:rFonts w:ascii="Tahoma" w:hAnsi="Tahoma" w:cs="Tahoma"/>
        </w:rPr>
        <w:t xml:space="preserve">Le maintien des cours sous cette zone neutre </w:t>
      </w:r>
      <w:r w:rsidR="00AF0CD4">
        <w:rPr>
          <w:rFonts w:ascii="Tahoma" w:hAnsi="Tahoma" w:cs="Tahoma"/>
        </w:rPr>
        <w:t xml:space="preserve">donne un </w:t>
      </w:r>
      <w:r w:rsidR="002B46F1">
        <w:rPr>
          <w:rFonts w:ascii="Tahoma" w:hAnsi="Tahoma" w:cs="Tahoma"/>
        </w:rPr>
        <w:t>léger</w:t>
      </w:r>
      <w:r w:rsidR="00AF0CD4">
        <w:rPr>
          <w:rFonts w:ascii="Tahoma" w:hAnsi="Tahoma" w:cs="Tahoma"/>
        </w:rPr>
        <w:t xml:space="preserve"> </w:t>
      </w:r>
      <w:r>
        <w:rPr>
          <w:rFonts w:ascii="Tahoma" w:hAnsi="Tahoma" w:cs="Tahoma"/>
        </w:rPr>
        <w:t xml:space="preserve">avantage </w:t>
      </w:r>
      <w:r w:rsidR="00AF0CD4">
        <w:rPr>
          <w:rFonts w:ascii="Tahoma" w:hAnsi="Tahoma" w:cs="Tahoma"/>
        </w:rPr>
        <w:t>à</w:t>
      </w:r>
      <w:r>
        <w:rPr>
          <w:rFonts w:ascii="Tahoma" w:hAnsi="Tahoma" w:cs="Tahoma"/>
        </w:rPr>
        <w:t xml:space="preserve"> </w:t>
      </w:r>
      <w:r w:rsidR="002B46F1">
        <w:rPr>
          <w:rFonts w:ascii="Tahoma" w:hAnsi="Tahoma" w:cs="Tahoma"/>
        </w:rPr>
        <w:t xml:space="preserve">un </w:t>
      </w:r>
      <w:r>
        <w:rPr>
          <w:rFonts w:ascii="Tahoma" w:hAnsi="Tahoma" w:cs="Tahoma"/>
        </w:rPr>
        <w:t>retour sur le support de 126.43.</w:t>
      </w:r>
      <w:r w:rsidR="00AF0CD4">
        <w:rPr>
          <w:rFonts w:ascii="Tahoma" w:hAnsi="Tahoma" w:cs="Tahoma"/>
        </w:rPr>
        <w:t xml:space="preserve"> Il permet a</w:t>
      </w:r>
      <w:r w:rsidR="000B2B4C">
        <w:rPr>
          <w:rFonts w:ascii="Tahoma" w:hAnsi="Tahoma" w:cs="Tahoma"/>
        </w:rPr>
        <w:t>in</w:t>
      </w:r>
      <w:r w:rsidR="00AF0CD4">
        <w:rPr>
          <w:rFonts w:ascii="Tahoma" w:hAnsi="Tahoma" w:cs="Tahoma"/>
        </w:rPr>
        <w:t>si d’écarter l</w:t>
      </w:r>
      <w:r w:rsidR="00A96780">
        <w:rPr>
          <w:rFonts w:ascii="Tahoma" w:hAnsi="Tahoma" w:cs="Tahoma"/>
        </w:rPr>
        <w:t>a</w:t>
      </w:r>
      <w:r w:rsidR="00AF0CD4">
        <w:rPr>
          <w:rFonts w:ascii="Tahoma" w:hAnsi="Tahoma" w:cs="Tahoma"/>
        </w:rPr>
        <w:t xml:space="preserve"> hausse de l’analyse </w:t>
      </w:r>
      <w:r w:rsidR="000B2B4C">
        <w:rPr>
          <w:rFonts w:ascii="Tahoma" w:hAnsi="Tahoma" w:cs="Tahoma"/>
        </w:rPr>
        <w:t>tant que 130.97 ne sera pas franchi.</w:t>
      </w:r>
    </w:p>
    <w:p w14:paraId="01397656" w14:textId="77A4F2CE" w:rsidR="00D40A12" w:rsidRDefault="00D40A12" w:rsidP="002B5219">
      <w:pPr>
        <w:jc w:val="both"/>
        <w:rPr>
          <w:rFonts w:ascii="Tahoma" w:hAnsi="Tahoma" w:cs="Tahoma"/>
        </w:rPr>
      </w:pPr>
      <w:r>
        <w:rPr>
          <w:rFonts w:ascii="Tahoma" w:hAnsi="Tahoma" w:cs="Tahoma"/>
        </w:rPr>
        <w:t>L’analyse des chandelier</w:t>
      </w:r>
      <w:r w:rsidR="00A96780">
        <w:rPr>
          <w:rFonts w:ascii="Tahoma" w:hAnsi="Tahoma" w:cs="Tahoma"/>
        </w:rPr>
        <w:t>s</w:t>
      </w:r>
      <w:r>
        <w:rPr>
          <w:rFonts w:ascii="Tahoma" w:hAnsi="Tahoma" w:cs="Tahoma"/>
        </w:rPr>
        <w:t xml:space="preserve"> n’apporte pas </w:t>
      </w:r>
      <w:r w:rsidR="009815D1">
        <w:rPr>
          <w:rFonts w:ascii="Tahoma" w:hAnsi="Tahoma" w:cs="Tahoma"/>
        </w:rPr>
        <w:t xml:space="preserve">d’éclairage supplémentaire. </w:t>
      </w:r>
      <w:r w:rsidR="00575E1A">
        <w:rPr>
          <w:rFonts w:ascii="Tahoma" w:hAnsi="Tahoma" w:cs="Tahoma"/>
        </w:rPr>
        <w:t>L’influence négative de la</w:t>
      </w:r>
      <w:r w:rsidR="009815D1">
        <w:rPr>
          <w:rFonts w:ascii="Tahoma" w:hAnsi="Tahoma" w:cs="Tahoma"/>
        </w:rPr>
        <w:t xml:space="preserve"> longue bougie noire de la semaine du 03 mars 2025 continue </w:t>
      </w:r>
      <w:r w:rsidR="00575E1A">
        <w:rPr>
          <w:rFonts w:ascii="Tahoma" w:hAnsi="Tahoma" w:cs="Tahoma"/>
        </w:rPr>
        <w:t xml:space="preserve">de peser sur le marché et seul son invalidation par un dépassement de 130.97 permettra au </w:t>
      </w:r>
      <w:r w:rsidR="00C764CF">
        <w:rPr>
          <w:rFonts w:ascii="Tahoma" w:hAnsi="Tahoma" w:cs="Tahoma"/>
        </w:rPr>
        <w:t>contrat</w:t>
      </w:r>
      <w:r w:rsidR="00575E1A">
        <w:rPr>
          <w:rFonts w:ascii="Tahoma" w:hAnsi="Tahoma" w:cs="Tahoma"/>
        </w:rPr>
        <w:t xml:space="preserve"> de passer à autre chose</w:t>
      </w:r>
      <w:r w:rsidR="002E3042">
        <w:rPr>
          <w:rFonts w:ascii="Tahoma" w:hAnsi="Tahoma" w:cs="Tahoma"/>
        </w:rPr>
        <w:t xml:space="preserve"> </w:t>
      </w:r>
      <w:r w:rsidR="00C764CF">
        <w:rPr>
          <w:rFonts w:ascii="Tahoma" w:hAnsi="Tahoma" w:cs="Tahoma"/>
        </w:rPr>
        <w:t>et</w:t>
      </w:r>
      <w:r w:rsidR="002E3042">
        <w:rPr>
          <w:rFonts w:ascii="Tahoma" w:hAnsi="Tahoma" w:cs="Tahoma"/>
        </w:rPr>
        <w:t xml:space="preserve"> venir s’attaquer à la résistance de 136.01.</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179CC47C" w:rsidR="00583BC8" w:rsidRDefault="003033A8" w:rsidP="00B41C02">
      <w:pPr>
        <w:jc w:val="both"/>
        <w:rPr>
          <w:rFonts w:ascii="Tahoma" w:hAnsi="Tahoma" w:cs="Tahoma"/>
        </w:rPr>
      </w:pPr>
      <w:r>
        <w:rPr>
          <w:noProof/>
        </w:rPr>
        <w:lastRenderedPageBreak/>
        <w:drawing>
          <wp:inline distT="0" distB="0" distL="0" distR="0" wp14:anchorId="63ECF26F" wp14:editId="3E97BF3F">
            <wp:extent cx="5760720" cy="3882683"/>
            <wp:effectExtent l="0" t="0" r="0" b="3810"/>
            <wp:docPr id="206057669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1155" cy="3882976"/>
                    </a:xfrm>
                    <a:prstGeom prst="rect">
                      <a:avLst/>
                    </a:prstGeom>
                    <a:noFill/>
                    <a:ln>
                      <a:noFill/>
                    </a:ln>
                  </pic:spPr>
                </pic:pic>
              </a:graphicData>
            </a:graphic>
          </wp:inline>
        </w:drawing>
      </w:r>
    </w:p>
    <w:p w14:paraId="2F2BF92B" w14:textId="0E03BC87" w:rsidR="003033A8" w:rsidRDefault="003033A8" w:rsidP="00041E45">
      <w:pPr>
        <w:jc w:val="both"/>
        <w:rPr>
          <w:rFonts w:ascii="Tahoma" w:hAnsi="Tahoma" w:cs="Tahoma"/>
        </w:rPr>
      </w:pPr>
      <w:r>
        <w:rPr>
          <w:rFonts w:ascii="Tahoma" w:hAnsi="Tahoma" w:cs="Tahoma"/>
        </w:rPr>
        <w:t>Lors de ma précédente analyse (13 septembre)</w:t>
      </w:r>
      <w:r w:rsidR="00C764CF">
        <w:rPr>
          <w:rFonts w:ascii="Tahoma" w:hAnsi="Tahoma" w:cs="Tahoma"/>
        </w:rPr>
        <w:t>,</w:t>
      </w:r>
      <w:r>
        <w:rPr>
          <w:rFonts w:ascii="Tahoma" w:hAnsi="Tahoma" w:cs="Tahoma"/>
        </w:rPr>
        <w:t xml:space="preserve"> j’avais placé le marché de court terme au sein d’une dérive latérale dont le support se situait sur 127.60 et la résistance sur 130.97. Ces points </w:t>
      </w:r>
      <w:r w:rsidR="002B46F1">
        <w:rPr>
          <w:rFonts w:ascii="Tahoma" w:hAnsi="Tahoma" w:cs="Tahoma"/>
        </w:rPr>
        <w:t>reprenaient</w:t>
      </w:r>
      <w:r>
        <w:rPr>
          <w:rFonts w:ascii="Tahoma" w:hAnsi="Tahoma" w:cs="Tahoma"/>
        </w:rPr>
        <w:t xml:space="preserve"> </w:t>
      </w:r>
      <w:r w:rsidR="002B46F1">
        <w:rPr>
          <w:rFonts w:ascii="Tahoma" w:hAnsi="Tahoma" w:cs="Tahoma"/>
        </w:rPr>
        <w:t>les données hebdomadaires</w:t>
      </w:r>
      <w:r>
        <w:rPr>
          <w:rFonts w:ascii="Tahoma" w:hAnsi="Tahoma" w:cs="Tahoma"/>
        </w:rPr>
        <w:t>.</w:t>
      </w:r>
    </w:p>
    <w:p w14:paraId="15368F25" w14:textId="28C3FEF5" w:rsidR="003033A8" w:rsidRDefault="003033A8" w:rsidP="00041E45">
      <w:pPr>
        <w:jc w:val="both"/>
        <w:rPr>
          <w:rFonts w:ascii="Tahoma" w:hAnsi="Tahoma" w:cs="Tahoma"/>
        </w:rPr>
      </w:pPr>
      <w:r>
        <w:rPr>
          <w:rFonts w:ascii="Tahoma" w:hAnsi="Tahoma" w:cs="Tahoma"/>
        </w:rPr>
        <w:t xml:space="preserve">Aujourd’hui, comme vous pouvez le constater sur le graphique, je trouve plus opportun de cadrer le marché par une </w:t>
      </w:r>
      <w:r w:rsidR="002B46F1">
        <w:rPr>
          <w:rFonts w:ascii="Tahoma" w:hAnsi="Tahoma" w:cs="Tahoma"/>
        </w:rPr>
        <w:t>résistance</w:t>
      </w:r>
      <w:r>
        <w:rPr>
          <w:rFonts w:ascii="Tahoma" w:hAnsi="Tahoma" w:cs="Tahoma"/>
        </w:rPr>
        <w:t xml:space="preserve"> haute sur 129.59 alors que le support lui reste inchangé.</w:t>
      </w:r>
    </w:p>
    <w:p w14:paraId="22B5F78B" w14:textId="1C075FB9" w:rsidR="00D354BE" w:rsidRDefault="00D354BE" w:rsidP="00041E45">
      <w:pPr>
        <w:jc w:val="both"/>
        <w:rPr>
          <w:rFonts w:ascii="Tahoma" w:hAnsi="Tahoma" w:cs="Tahoma"/>
        </w:rPr>
      </w:pPr>
      <w:r>
        <w:rPr>
          <w:rFonts w:ascii="Tahoma" w:hAnsi="Tahoma" w:cs="Tahoma"/>
        </w:rPr>
        <w:t>Le plat de KS de 128.52 sera le point neutre de cette dérive latérale.</w:t>
      </w:r>
    </w:p>
    <w:p w14:paraId="36B73302" w14:textId="41CC33D0" w:rsidR="00D354BE" w:rsidRDefault="00D354BE" w:rsidP="00041E45">
      <w:pPr>
        <w:jc w:val="both"/>
        <w:rPr>
          <w:rFonts w:ascii="Tahoma" w:hAnsi="Tahoma" w:cs="Tahoma"/>
        </w:rPr>
      </w:pPr>
      <w:r>
        <w:rPr>
          <w:rFonts w:ascii="Tahoma" w:hAnsi="Tahoma" w:cs="Tahoma"/>
        </w:rPr>
        <w:t xml:space="preserve">Cette configuration graphique nous dit qu’il faudra attendre le dépassement en </w:t>
      </w:r>
      <w:r w:rsidR="002B46F1">
        <w:rPr>
          <w:rFonts w:ascii="Tahoma" w:hAnsi="Tahoma" w:cs="Tahoma"/>
        </w:rPr>
        <w:t>clôture</w:t>
      </w:r>
      <w:r>
        <w:rPr>
          <w:rFonts w:ascii="Tahoma" w:hAnsi="Tahoma" w:cs="Tahoma"/>
        </w:rPr>
        <w:t xml:space="preserve"> de 129.59 ou de 127.60 pour envisager une poursuite du mouvement. Mais après ce</w:t>
      </w:r>
      <w:r w:rsidR="00C764CF">
        <w:rPr>
          <w:rFonts w:ascii="Tahoma" w:hAnsi="Tahoma" w:cs="Tahoma"/>
        </w:rPr>
        <w:t>tte</w:t>
      </w:r>
      <w:r>
        <w:rPr>
          <w:rFonts w:ascii="Tahoma" w:hAnsi="Tahoma" w:cs="Tahoma"/>
        </w:rPr>
        <w:t xml:space="preserve"> </w:t>
      </w:r>
      <w:r w:rsidR="00C764CF">
        <w:rPr>
          <w:rFonts w:ascii="Tahoma" w:hAnsi="Tahoma" w:cs="Tahoma"/>
        </w:rPr>
        <w:t>cassure</w:t>
      </w:r>
      <w:r>
        <w:rPr>
          <w:rFonts w:ascii="Tahoma" w:hAnsi="Tahoma" w:cs="Tahoma"/>
        </w:rPr>
        <w:t>, le contrat devra s’affranchir des points évoqués sur le moyen terme</w:t>
      </w:r>
      <w:r w:rsidR="009878A8">
        <w:rPr>
          <w:rFonts w:ascii="Tahoma" w:hAnsi="Tahoma" w:cs="Tahoma"/>
        </w:rPr>
        <w:t xml:space="preserve"> pour envisager un mouvement plus directionnel.</w:t>
      </w:r>
    </w:p>
    <w:p w14:paraId="2B081ADA" w14:textId="05521616" w:rsidR="009878A8" w:rsidRDefault="009878A8" w:rsidP="00041E45">
      <w:pPr>
        <w:jc w:val="both"/>
        <w:rPr>
          <w:rFonts w:ascii="Tahoma" w:hAnsi="Tahoma" w:cs="Tahoma"/>
        </w:rPr>
      </w:pPr>
      <w:r>
        <w:rPr>
          <w:rFonts w:ascii="Tahoma" w:hAnsi="Tahoma" w:cs="Tahoma"/>
        </w:rPr>
        <w:t xml:space="preserve">Le dépassement du plat de KS (point neutre) a été validé au cours de la semaine. Mais il n’a pas entrainé le développement d’un courant </w:t>
      </w:r>
      <w:r w:rsidR="00C764CF">
        <w:rPr>
          <w:rFonts w:ascii="Tahoma" w:hAnsi="Tahoma" w:cs="Tahoma"/>
        </w:rPr>
        <w:t xml:space="preserve">haussier </w:t>
      </w:r>
      <w:r>
        <w:rPr>
          <w:rFonts w:ascii="Tahoma" w:hAnsi="Tahoma" w:cs="Tahoma"/>
        </w:rPr>
        <w:t xml:space="preserve">convaincu. Il faudra attendre un dépassement de 128.80 pour </w:t>
      </w:r>
      <w:r w:rsidR="00774E46">
        <w:rPr>
          <w:rFonts w:ascii="Tahoma" w:hAnsi="Tahoma" w:cs="Tahoma"/>
        </w:rPr>
        <w:t>amener les acheteurs à reprendre leur action.</w:t>
      </w:r>
    </w:p>
    <w:p w14:paraId="10BB9766" w14:textId="77777777" w:rsidR="00723F77" w:rsidRDefault="00723F77" w:rsidP="00041E45">
      <w:pPr>
        <w:jc w:val="both"/>
        <w:rPr>
          <w:rFonts w:ascii="Tahoma" w:hAnsi="Tahoma" w:cs="Tahoma"/>
        </w:rPr>
      </w:pPr>
    </w:p>
    <w:p w14:paraId="258EB8FF" w14:textId="43AE5D43" w:rsidR="00B94D71" w:rsidRDefault="00B94D71" w:rsidP="00774E46">
      <w:pPr>
        <w:spacing w:after="0"/>
        <w:jc w:val="both"/>
        <w:rPr>
          <w:rFonts w:ascii="Tahoma" w:hAnsi="Tahoma" w:cs="Tahoma"/>
        </w:rPr>
      </w:pPr>
      <w:r>
        <w:rPr>
          <w:rFonts w:ascii="Tahoma" w:hAnsi="Tahoma" w:cs="Tahoma"/>
          <w:u w:val="single"/>
        </w:rPr>
        <w:t>CONCLUSION</w:t>
      </w:r>
      <w:r>
        <w:rPr>
          <w:rFonts w:ascii="Tahoma" w:hAnsi="Tahoma" w:cs="Tahoma"/>
        </w:rPr>
        <w:t> :</w:t>
      </w:r>
      <w:r w:rsidR="00774E46">
        <w:rPr>
          <w:rFonts w:ascii="Tahoma" w:hAnsi="Tahoma" w:cs="Tahoma"/>
        </w:rPr>
        <w:t xml:space="preserve"> Un marché qui consolide aussi bien sur le moyen terme que sur le court terme.</w:t>
      </w:r>
    </w:p>
    <w:p w14:paraId="1814C32C" w14:textId="2D6B3859" w:rsidR="00774E46" w:rsidRDefault="00774E46" w:rsidP="00774E46">
      <w:pPr>
        <w:spacing w:after="0"/>
        <w:jc w:val="both"/>
        <w:rPr>
          <w:rFonts w:ascii="Tahoma" w:hAnsi="Tahoma" w:cs="Tahoma"/>
        </w:rPr>
      </w:pPr>
      <w:r>
        <w:rPr>
          <w:rFonts w:ascii="Tahoma" w:hAnsi="Tahoma" w:cs="Tahoma"/>
        </w:rPr>
        <w:t>Sur le court terme, consolidation entre 126.60 et 129.59 avec un point d’équilibre sur 128.52.</w:t>
      </w:r>
    </w:p>
    <w:p w14:paraId="466CFB70" w14:textId="77777777" w:rsidR="00774E46" w:rsidRDefault="00774E46" w:rsidP="00B94D71">
      <w:pPr>
        <w:jc w:val="both"/>
        <w:rPr>
          <w:rFonts w:ascii="Tahoma" w:hAnsi="Tahoma" w:cs="Tahoma"/>
        </w:rPr>
      </w:pPr>
      <w:r>
        <w:rPr>
          <w:rFonts w:ascii="Tahoma" w:hAnsi="Tahoma" w:cs="Tahoma"/>
        </w:rPr>
        <w:t>Sur le moyen terme consolidation entre 126.43 et 136.01 avec un point d’équilibre sur 130.97.</w:t>
      </w:r>
    </w:p>
    <w:p w14:paraId="60D3D995" w14:textId="28A7F830" w:rsidR="00774E46" w:rsidRDefault="002B46F1" w:rsidP="00774E46">
      <w:pPr>
        <w:spacing w:after="0"/>
        <w:jc w:val="both"/>
        <w:rPr>
          <w:rFonts w:ascii="Tahoma" w:hAnsi="Tahoma" w:cs="Tahoma"/>
        </w:rPr>
      </w:pPr>
      <w:r>
        <w:rPr>
          <w:rFonts w:ascii="Tahoma" w:hAnsi="Tahoma" w:cs="Tahoma"/>
        </w:rPr>
        <w:t>Au-dessus</w:t>
      </w:r>
      <w:r w:rsidR="00774E46">
        <w:rPr>
          <w:rFonts w:ascii="Tahoma" w:hAnsi="Tahoma" w:cs="Tahoma"/>
        </w:rPr>
        <w:t xml:space="preserve"> de 128.52</w:t>
      </w:r>
      <w:r w:rsidR="00C764CF">
        <w:rPr>
          <w:rFonts w:ascii="Tahoma" w:hAnsi="Tahoma" w:cs="Tahoma"/>
        </w:rPr>
        <w:t xml:space="preserve"> : </w:t>
      </w:r>
      <w:r w:rsidR="00774E46">
        <w:rPr>
          <w:rFonts w:ascii="Tahoma" w:hAnsi="Tahoma" w:cs="Tahoma"/>
        </w:rPr>
        <w:t>129.59 -&gt;130.97 -&gt;136.01</w:t>
      </w:r>
    </w:p>
    <w:p w14:paraId="2E975A96" w14:textId="16595ACA" w:rsidR="00EE6B93" w:rsidRDefault="00774E46" w:rsidP="002B46F1">
      <w:pPr>
        <w:spacing w:after="0"/>
        <w:jc w:val="both"/>
        <w:rPr>
          <w:rFonts w:ascii="Tahoma" w:hAnsi="Tahoma" w:cs="Tahoma"/>
        </w:rPr>
      </w:pPr>
      <w:r>
        <w:rPr>
          <w:rFonts w:ascii="Tahoma" w:hAnsi="Tahoma" w:cs="Tahoma"/>
        </w:rPr>
        <w:t>Sous 128.52</w:t>
      </w:r>
      <w:r w:rsidR="00C764CF">
        <w:rPr>
          <w:rFonts w:ascii="Tahoma" w:hAnsi="Tahoma" w:cs="Tahoma"/>
        </w:rPr>
        <w:t> :</w:t>
      </w:r>
      <w:r>
        <w:rPr>
          <w:rFonts w:ascii="Tahoma" w:hAnsi="Tahoma" w:cs="Tahoma"/>
        </w:rPr>
        <w:t xml:space="preserve"> 127.60 -&gt; 126.43</w:t>
      </w:r>
    </w:p>
    <w:p w14:paraId="6997F4E5" w14:textId="77777777" w:rsidR="002B46F1" w:rsidRDefault="002B46F1" w:rsidP="002B46F1">
      <w:pPr>
        <w:spacing w:after="0"/>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739B0"/>
    <w:rsid w:val="000833FB"/>
    <w:rsid w:val="00092058"/>
    <w:rsid w:val="000938CC"/>
    <w:rsid w:val="000B221E"/>
    <w:rsid w:val="000B2B4C"/>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46F1"/>
    <w:rsid w:val="002B5219"/>
    <w:rsid w:val="002B5496"/>
    <w:rsid w:val="002B5CB1"/>
    <w:rsid w:val="002B62DD"/>
    <w:rsid w:val="002C0A31"/>
    <w:rsid w:val="002E3042"/>
    <w:rsid w:val="002F54B0"/>
    <w:rsid w:val="00303214"/>
    <w:rsid w:val="003033A8"/>
    <w:rsid w:val="0030643B"/>
    <w:rsid w:val="00337611"/>
    <w:rsid w:val="00340FD9"/>
    <w:rsid w:val="00352DD9"/>
    <w:rsid w:val="003767E0"/>
    <w:rsid w:val="00397D3D"/>
    <w:rsid w:val="003B7CE8"/>
    <w:rsid w:val="0040171B"/>
    <w:rsid w:val="00467005"/>
    <w:rsid w:val="004A2D2D"/>
    <w:rsid w:val="004A5154"/>
    <w:rsid w:val="004F48EE"/>
    <w:rsid w:val="00531928"/>
    <w:rsid w:val="005440A4"/>
    <w:rsid w:val="00546A5A"/>
    <w:rsid w:val="005534BD"/>
    <w:rsid w:val="00566580"/>
    <w:rsid w:val="00567AF3"/>
    <w:rsid w:val="00575E1A"/>
    <w:rsid w:val="00583BC8"/>
    <w:rsid w:val="00654380"/>
    <w:rsid w:val="00664BE1"/>
    <w:rsid w:val="00671817"/>
    <w:rsid w:val="00682F24"/>
    <w:rsid w:val="006B055C"/>
    <w:rsid w:val="006E32BB"/>
    <w:rsid w:val="006E38E0"/>
    <w:rsid w:val="00710599"/>
    <w:rsid w:val="00723F77"/>
    <w:rsid w:val="00744696"/>
    <w:rsid w:val="00751BB1"/>
    <w:rsid w:val="00772067"/>
    <w:rsid w:val="00774E46"/>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15D1"/>
    <w:rsid w:val="00983B7D"/>
    <w:rsid w:val="009878A8"/>
    <w:rsid w:val="009A37C2"/>
    <w:rsid w:val="009E7B62"/>
    <w:rsid w:val="009F3AB8"/>
    <w:rsid w:val="00A11606"/>
    <w:rsid w:val="00A6401C"/>
    <w:rsid w:val="00A81AB7"/>
    <w:rsid w:val="00A96780"/>
    <w:rsid w:val="00AA522C"/>
    <w:rsid w:val="00AE7F3B"/>
    <w:rsid w:val="00AF0CD4"/>
    <w:rsid w:val="00B34260"/>
    <w:rsid w:val="00B41C02"/>
    <w:rsid w:val="00B4335A"/>
    <w:rsid w:val="00B50E38"/>
    <w:rsid w:val="00B554B8"/>
    <w:rsid w:val="00B64EE0"/>
    <w:rsid w:val="00B94D71"/>
    <w:rsid w:val="00BB0E32"/>
    <w:rsid w:val="00BB6D9D"/>
    <w:rsid w:val="00BC77A5"/>
    <w:rsid w:val="00BD3FC1"/>
    <w:rsid w:val="00C17ED7"/>
    <w:rsid w:val="00C41F15"/>
    <w:rsid w:val="00C44F07"/>
    <w:rsid w:val="00C60D55"/>
    <w:rsid w:val="00C70171"/>
    <w:rsid w:val="00C70A68"/>
    <w:rsid w:val="00C764CF"/>
    <w:rsid w:val="00C82E98"/>
    <w:rsid w:val="00CB17C9"/>
    <w:rsid w:val="00CC72FF"/>
    <w:rsid w:val="00CC7C21"/>
    <w:rsid w:val="00CE0886"/>
    <w:rsid w:val="00CF2516"/>
    <w:rsid w:val="00CF6D63"/>
    <w:rsid w:val="00D23B28"/>
    <w:rsid w:val="00D354BE"/>
    <w:rsid w:val="00D40A12"/>
    <w:rsid w:val="00D46C8D"/>
    <w:rsid w:val="00D47E87"/>
    <w:rsid w:val="00DA1359"/>
    <w:rsid w:val="00DE5444"/>
    <w:rsid w:val="00DF072F"/>
    <w:rsid w:val="00E32014"/>
    <w:rsid w:val="00E3727C"/>
    <w:rsid w:val="00EB58BA"/>
    <w:rsid w:val="00EE6B93"/>
    <w:rsid w:val="00F04A6E"/>
    <w:rsid w:val="00F04DEF"/>
    <w:rsid w:val="00F31070"/>
    <w:rsid w:val="00F53F10"/>
    <w:rsid w:val="00F636F8"/>
    <w:rsid w:val="00FA2C8E"/>
    <w:rsid w:val="00FC1860"/>
    <w:rsid w:val="00FC7EA5"/>
    <w:rsid w:val="00FD4C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744</TotalTime>
  <Pages>4</Pages>
  <Words>608</Words>
  <Characters>3344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119</cp:revision>
  <dcterms:created xsi:type="dcterms:W3CDTF">2021-11-25T09:44:00Z</dcterms:created>
  <dcterms:modified xsi:type="dcterms:W3CDTF">2025-10-04T16:09:00Z</dcterms:modified>
</cp:coreProperties>
</file>