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61F94D41" w:rsidR="00902D2F" w:rsidRPr="00041E45" w:rsidRDefault="00751462" w:rsidP="00B41C02">
      <w:pPr>
        <w:jc w:val="both"/>
        <w:rPr>
          <w:rFonts w:ascii="Tahoma" w:hAnsi="Tahoma" w:cs="Tahoma"/>
          <w:sz w:val="32"/>
          <w:szCs w:val="32"/>
          <w:u w:val="single"/>
        </w:rPr>
      </w:pPr>
      <w:r>
        <w:rPr>
          <w:rFonts w:ascii="Tahoma" w:hAnsi="Tahoma" w:cs="Tahoma"/>
          <w:sz w:val="32"/>
          <w:szCs w:val="32"/>
          <w:u w:val="single"/>
        </w:rPr>
        <w:t>Month</w:t>
      </w:r>
    </w:p>
    <w:p w14:paraId="2862B446" w14:textId="495B492D" w:rsidR="00902D2F" w:rsidRDefault="00751462" w:rsidP="00B41C02">
      <w:pPr>
        <w:jc w:val="both"/>
        <w:rPr>
          <w:rFonts w:ascii="Tahoma" w:hAnsi="Tahoma" w:cs="Tahoma"/>
        </w:rPr>
      </w:pPr>
      <w:r>
        <w:rPr>
          <w:noProof/>
        </w:rPr>
        <w:drawing>
          <wp:inline distT="0" distB="0" distL="0" distR="0" wp14:anchorId="10C2D1CB" wp14:editId="2B081676">
            <wp:extent cx="5760720" cy="4320540"/>
            <wp:effectExtent l="0" t="0" r="0" b="3810"/>
            <wp:docPr id="17026062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4184A3F5" w14:textId="5DA74B89" w:rsidR="00875AB1" w:rsidRDefault="002B1060" w:rsidP="002B1060">
      <w:pPr>
        <w:jc w:val="both"/>
        <w:rPr>
          <w:rFonts w:ascii="Tahoma" w:hAnsi="Tahoma" w:cs="Tahoma"/>
        </w:rPr>
      </w:pPr>
      <w:r>
        <w:rPr>
          <w:rFonts w:ascii="Tahoma" w:hAnsi="Tahoma" w:cs="Tahoma"/>
        </w:rPr>
        <w:t>Pour rappel, le contexte de long terme est le suivant. L</w:t>
      </w:r>
      <w:r>
        <w:rPr>
          <w:rFonts w:ascii="Tahoma" w:hAnsi="Tahoma" w:cs="Tahoma"/>
        </w:rPr>
        <w:t>es supports majeurs ainsi que les résistances sont définis par des plats passés</w:t>
      </w:r>
      <w:r>
        <w:rPr>
          <w:rFonts w:ascii="Tahoma" w:hAnsi="Tahoma" w:cs="Tahoma"/>
        </w:rPr>
        <w:t xml:space="preserve"> en données mensuelles</w:t>
      </w:r>
      <w:r>
        <w:rPr>
          <w:rFonts w:ascii="Tahoma" w:hAnsi="Tahoma" w:cs="Tahoma"/>
        </w:rPr>
        <w:t>. En support, il y a 126.43 et 121.01 qui matérialisent respectivement un plat de SSB et un plat de KS. Deux plats de KS sur 136.01 et 145.13 serviront de résistance.</w:t>
      </w:r>
      <w:r w:rsidR="00875AB1">
        <w:rPr>
          <w:rFonts w:ascii="Tahoma" w:hAnsi="Tahoma" w:cs="Tahoma"/>
        </w:rPr>
        <w:t xml:space="preserve"> </w:t>
      </w:r>
      <w:r w:rsidR="00F65D88">
        <w:rPr>
          <w:rFonts w:ascii="Tahoma" w:hAnsi="Tahoma" w:cs="Tahoma"/>
        </w:rPr>
        <w:t>E</w:t>
      </w:r>
      <w:r w:rsidR="00875AB1">
        <w:rPr>
          <w:rFonts w:ascii="Tahoma" w:hAnsi="Tahoma" w:cs="Tahoma"/>
        </w:rPr>
        <w:t xml:space="preserve">ntre ces bornes, le plat de KS au niveau des cours de 131.82 </w:t>
      </w:r>
      <w:r w:rsidR="006B29B5">
        <w:rPr>
          <w:rFonts w:ascii="Tahoma" w:hAnsi="Tahoma" w:cs="Tahoma"/>
        </w:rPr>
        <w:t>servira de résistance.</w:t>
      </w:r>
    </w:p>
    <w:p w14:paraId="4F0EE937" w14:textId="6C183EAF" w:rsidR="009241E4" w:rsidRDefault="009241E4" w:rsidP="009241E4">
      <w:pPr>
        <w:jc w:val="both"/>
        <w:rPr>
          <w:rFonts w:ascii="Tahoma" w:hAnsi="Tahoma" w:cs="Tahoma"/>
        </w:rPr>
      </w:pPr>
      <w:r>
        <w:rPr>
          <w:rFonts w:ascii="Tahoma" w:hAnsi="Tahoma" w:cs="Tahoma"/>
        </w:rPr>
        <w:t>En chandelier, nous avons une p</w:t>
      </w:r>
      <w:r>
        <w:rPr>
          <w:rFonts w:ascii="Tahoma" w:hAnsi="Tahoma" w:cs="Tahoma"/>
        </w:rPr>
        <w:t xml:space="preserve">etite évolution ce </w:t>
      </w:r>
      <w:r w:rsidR="00045D04">
        <w:rPr>
          <w:rFonts w:ascii="Tahoma" w:hAnsi="Tahoma" w:cs="Tahoma"/>
        </w:rPr>
        <w:t>mois-ci</w:t>
      </w:r>
      <w:r>
        <w:rPr>
          <w:rFonts w:ascii="Tahoma" w:hAnsi="Tahoma" w:cs="Tahoma"/>
        </w:rPr>
        <w:t xml:space="preserve"> avec d’une part une chandelle au corps vrai un peu plus long que les précédentes, et d’autre part une bougie de couleur blanche qui indique que les acheteurs ont été un peu plus actifs qu</w:t>
      </w:r>
      <w:r w:rsidR="00F65D88">
        <w:rPr>
          <w:rFonts w:ascii="Tahoma" w:hAnsi="Tahoma" w:cs="Tahoma"/>
        </w:rPr>
        <w:t>e</w:t>
      </w:r>
      <w:r>
        <w:rPr>
          <w:rFonts w:ascii="Tahoma" w:hAnsi="Tahoma" w:cs="Tahoma"/>
        </w:rPr>
        <w:t xml:space="preserve"> les vendeurs.</w:t>
      </w:r>
    </w:p>
    <w:p w14:paraId="54315855" w14:textId="292755C5" w:rsidR="004700EA" w:rsidRDefault="004700EA" w:rsidP="009241E4">
      <w:pPr>
        <w:jc w:val="both"/>
        <w:rPr>
          <w:rFonts w:ascii="Tahoma" w:hAnsi="Tahoma" w:cs="Tahoma"/>
        </w:rPr>
      </w:pPr>
      <w:r>
        <w:rPr>
          <w:rFonts w:ascii="Tahoma" w:hAnsi="Tahoma" w:cs="Tahoma"/>
        </w:rPr>
        <w:t>Cette bougie peut paraitre positive et elle l’est dans l’environnement actuelle mais elle n’est pas assez marquante pour inciter les baissiers à revoir leurs positions. La mèche haute de ce dernier chandelier équilibre le rapport de force entre acheteurs et vendeurs</w:t>
      </w:r>
      <w:r w:rsidR="00F15193">
        <w:rPr>
          <w:rFonts w:ascii="Tahoma" w:hAnsi="Tahoma" w:cs="Tahoma"/>
        </w:rPr>
        <w:t xml:space="preserve"> et laisse le marché sous l’influence négative de la bougie noire du mois de mars dont le corps vrai cadre les prix </w:t>
      </w:r>
      <w:r w:rsidR="00333B2C">
        <w:rPr>
          <w:rFonts w:ascii="Tahoma" w:hAnsi="Tahoma" w:cs="Tahoma"/>
        </w:rPr>
        <w:t xml:space="preserve">depuis sept mois </w:t>
      </w:r>
      <w:r w:rsidR="00F15193">
        <w:rPr>
          <w:rFonts w:ascii="Tahoma" w:hAnsi="Tahoma" w:cs="Tahoma"/>
        </w:rPr>
        <w:t>entre</w:t>
      </w:r>
      <w:r w:rsidR="00333B2C">
        <w:rPr>
          <w:rFonts w:ascii="Tahoma" w:hAnsi="Tahoma" w:cs="Tahoma"/>
        </w:rPr>
        <w:t xml:space="preserve"> 127.70 et 130.75.</w:t>
      </w:r>
      <w:r w:rsidR="00F15193">
        <w:rPr>
          <w:rFonts w:ascii="Tahoma" w:hAnsi="Tahoma" w:cs="Tahoma"/>
        </w:rPr>
        <w:t xml:space="preserve"> </w:t>
      </w:r>
    </w:p>
    <w:p w14:paraId="0D52346D" w14:textId="7944CC8B" w:rsidR="00CB35C4" w:rsidRDefault="00CB35C4" w:rsidP="00CB35C4">
      <w:pPr>
        <w:jc w:val="both"/>
        <w:rPr>
          <w:rFonts w:ascii="Tahoma" w:hAnsi="Tahoma" w:cs="Tahoma"/>
        </w:rPr>
      </w:pPr>
    </w:p>
    <w:p w14:paraId="31D1B178" w14:textId="77777777" w:rsidR="00386019" w:rsidRDefault="00386019" w:rsidP="00CB35C4">
      <w:pPr>
        <w:jc w:val="both"/>
        <w:rPr>
          <w:rFonts w:ascii="Tahoma" w:hAnsi="Tahoma" w:cs="Tahoma"/>
        </w:rPr>
      </w:pPr>
    </w:p>
    <w:p w14:paraId="3C504CEC" w14:textId="77777777" w:rsidR="00751462" w:rsidRDefault="00751462" w:rsidP="00751462">
      <w:pPr>
        <w:jc w:val="both"/>
        <w:rPr>
          <w:rFonts w:ascii="Tahoma" w:hAnsi="Tahoma" w:cs="Tahoma"/>
          <w:sz w:val="32"/>
          <w:szCs w:val="32"/>
          <w:u w:val="single"/>
        </w:rPr>
      </w:pPr>
    </w:p>
    <w:p w14:paraId="37F22791" w14:textId="34159DB7" w:rsidR="00751462" w:rsidRPr="00041E45" w:rsidRDefault="00751462" w:rsidP="00751462">
      <w:pPr>
        <w:jc w:val="both"/>
        <w:rPr>
          <w:rFonts w:ascii="Tahoma" w:hAnsi="Tahoma" w:cs="Tahoma"/>
          <w:sz w:val="32"/>
          <w:szCs w:val="32"/>
          <w:u w:val="single"/>
        </w:rPr>
      </w:pPr>
      <w:r w:rsidRPr="00041E45">
        <w:rPr>
          <w:rFonts w:ascii="Tahoma" w:hAnsi="Tahoma" w:cs="Tahoma"/>
          <w:sz w:val="32"/>
          <w:szCs w:val="32"/>
          <w:u w:val="single"/>
        </w:rPr>
        <w:lastRenderedPageBreak/>
        <w:t>Week</w:t>
      </w:r>
    </w:p>
    <w:p w14:paraId="5FE4A9A2" w14:textId="4366FBC4" w:rsidR="00751462" w:rsidRDefault="00751462" w:rsidP="00751462">
      <w:pPr>
        <w:jc w:val="both"/>
        <w:rPr>
          <w:rFonts w:ascii="Tahoma" w:hAnsi="Tahoma" w:cs="Tahoma"/>
        </w:rPr>
      </w:pPr>
      <w:r>
        <w:rPr>
          <w:noProof/>
        </w:rPr>
        <w:drawing>
          <wp:inline distT="0" distB="0" distL="0" distR="0" wp14:anchorId="563ADAB3" wp14:editId="677E76B6">
            <wp:extent cx="5760720" cy="4320540"/>
            <wp:effectExtent l="0" t="0" r="0" b="3810"/>
            <wp:docPr id="125165669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C5B0730" w14:textId="332CE81C" w:rsidR="00014AED" w:rsidRDefault="00386019" w:rsidP="00014AED">
      <w:pPr>
        <w:jc w:val="both"/>
        <w:rPr>
          <w:rFonts w:ascii="Tahoma" w:hAnsi="Tahoma" w:cs="Tahoma"/>
        </w:rPr>
      </w:pPr>
      <w:r>
        <w:rPr>
          <w:rFonts w:ascii="Tahoma" w:hAnsi="Tahoma" w:cs="Tahoma"/>
        </w:rPr>
        <w:t xml:space="preserve">Sur cette unité de temps, </w:t>
      </w:r>
      <w:r w:rsidR="002D2910">
        <w:rPr>
          <w:rFonts w:ascii="Tahoma" w:hAnsi="Tahoma" w:cs="Tahoma"/>
        </w:rPr>
        <w:t xml:space="preserve">suite aux nombreux twists, </w:t>
      </w:r>
      <w:r>
        <w:rPr>
          <w:rFonts w:ascii="Tahoma" w:hAnsi="Tahoma" w:cs="Tahoma"/>
        </w:rPr>
        <w:t>j’ai placé le marché au sein d’une dériv</w:t>
      </w:r>
      <w:r w:rsidR="00333244">
        <w:rPr>
          <w:rFonts w:ascii="Tahoma" w:hAnsi="Tahoma" w:cs="Tahoma"/>
        </w:rPr>
        <w:t>e</w:t>
      </w:r>
      <w:r>
        <w:rPr>
          <w:rFonts w:ascii="Tahoma" w:hAnsi="Tahoma" w:cs="Tahoma"/>
        </w:rPr>
        <w:t xml:space="preserve"> latérale avec en </w:t>
      </w:r>
      <w:r w:rsidR="00176351">
        <w:rPr>
          <w:rFonts w:ascii="Tahoma" w:hAnsi="Tahoma" w:cs="Tahoma"/>
        </w:rPr>
        <w:t>résistance</w:t>
      </w:r>
      <w:r>
        <w:rPr>
          <w:rFonts w:ascii="Tahoma" w:hAnsi="Tahoma" w:cs="Tahoma"/>
        </w:rPr>
        <w:t xml:space="preserve"> 136.01 et </w:t>
      </w:r>
      <w:r w:rsidR="004E64D1">
        <w:rPr>
          <w:rFonts w:ascii="Tahoma" w:hAnsi="Tahoma" w:cs="Tahoma"/>
        </w:rPr>
        <w:t xml:space="preserve">en </w:t>
      </w:r>
      <w:r w:rsidR="00176351">
        <w:rPr>
          <w:rFonts w:ascii="Tahoma" w:hAnsi="Tahoma" w:cs="Tahoma"/>
        </w:rPr>
        <w:t>support 126.43.</w:t>
      </w:r>
      <w:r w:rsidR="002D2910">
        <w:rPr>
          <w:rFonts w:ascii="Tahoma" w:hAnsi="Tahoma" w:cs="Tahoma"/>
        </w:rPr>
        <w:t xml:space="preserve"> </w:t>
      </w:r>
      <w:r w:rsidR="00014AED">
        <w:rPr>
          <w:rFonts w:ascii="Tahoma" w:hAnsi="Tahoma" w:cs="Tahoma"/>
        </w:rPr>
        <w:t>Ces points reprennent les données de long terme évoquées précédemment.</w:t>
      </w:r>
    </w:p>
    <w:p w14:paraId="624CA263" w14:textId="7A6D7E9E" w:rsidR="00751462" w:rsidRDefault="00B360B9" w:rsidP="00751462">
      <w:pPr>
        <w:jc w:val="both"/>
        <w:rPr>
          <w:rFonts w:ascii="Tahoma" w:hAnsi="Tahoma" w:cs="Tahoma"/>
        </w:rPr>
      </w:pPr>
      <w:r>
        <w:rPr>
          <w:rFonts w:ascii="Tahoma" w:hAnsi="Tahoma" w:cs="Tahoma"/>
        </w:rPr>
        <w:t>Le point d’équilibre est matérialisé par le plat de SSB de 130.60. Son dépassement devra être confirmé par une cassure de 130.97</w:t>
      </w:r>
      <w:r w:rsidR="006D442C">
        <w:rPr>
          <w:rFonts w:ascii="Tahoma" w:hAnsi="Tahoma" w:cs="Tahoma"/>
        </w:rPr>
        <w:t xml:space="preserve"> pour envisager une prolongation de la rupture sur 136.01.</w:t>
      </w:r>
    </w:p>
    <w:p w14:paraId="7CA23274" w14:textId="75A80785" w:rsidR="00964D32" w:rsidRDefault="00964D32" w:rsidP="00751462">
      <w:pPr>
        <w:jc w:val="both"/>
        <w:rPr>
          <w:rFonts w:ascii="Tahoma" w:hAnsi="Tahoma" w:cs="Tahoma"/>
        </w:rPr>
      </w:pPr>
      <w:r>
        <w:rPr>
          <w:rFonts w:ascii="Tahoma" w:hAnsi="Tahoma" w:cs="Tahoma"/>
        </w:rPr>
        <w:t>Comme nous pouvons le constater sur le graphique, le plat de SSB n’a pas été franchi. Cet échec a été suivi par la formation d’une structure d’alerte baissière en nuage noir</w:t>
      </w:r>
      <w:r w:rsidR="00F94FC6">
        <w:rPr>
          <w:rFonts w:ascii="Tahoma" w:hAnsi="Tahoma" w:cs="Tahoma"/>
        </w:rPr>
        <w:t xml:space="preserve"> qui pour autant ne s’est pas transformé</w:t>
      </w:r>
      <w:r w:rsidR="008B41ED">
        <w:rPr>
          <w:rFonts w:ascii="Tahoma" w:hAnsi="Tahoma" w:cs="Tahoma"/>
        </w:rPr>
        <w:t>e</w:t>
      </w:r>
      <w:r w:rsidR="00F94FC6">
        <w:rPr>
          <w:rFonts w:ascii="Tahoma" w:hAnsi="Tahoma" w:cs="Tahoma"/>
        </w:rPr>
        <w:t xml:space="preserve"> en retournement. En effet le doji de vendredi équilibre le rapport de force sur cette séance. Même si les </w:t>
      </w:r>
      <w:r w:rsidR="004E64D1">
        <w:rPr>
          <w:rFonts w:ascii="Tahoma" w:hAnsi="Tahoma" w:cs="Tahoma"/>
        </w:rPr>
        <w:t>haussiers</w:t>
      </w:r>
      <w:r w:rsidR="00F94FC6">
        <w:rPr>
          <w:rFonts w:ascii="Tahoma" w:hAnsi="Tahoma" w:cs="Tahoma"/>
        </w:rPr>
        <w:t xml:space="preserve"> ne sont pas parvenus à casser le point d’équilibre de 130.60, </w:t>
      </w:r>
      <w:r w:rsidR="004E64D1">
        <w:rPr>
          <w:rFonts w:ascii="Tahoma" w:hAnsi="Tahoma" w:cs="Tahoma"/>
        </w:rPr>
        <w:t>les vendeurs ne font toujours pas</w:t>
      </w:r>
      <w:r w:rsidR="00F94FC6">
        <w:rPr>
          <w:rFonts w:ascii="Tahoma" w:hAnsi="Tahoma" w:cs="Tahoma"/>
        </w:rPr>
        <w:t xml:space="preserve"> l’unanimité.</w:t>
      </w:r>
    </w:p>
    <w:p w14:paraId="70897109" w14:textId="5F9D43D1" w:rsidR="00765F27" w:rsidRDefault="00765F27" w:rsidP="00751462">
      <w:pPr>
        <w:jc w:val="both"/>
        <w:rPr>
          <w:rFonts w:ascii="Tahoma" w:hAnsi="Tahoma" w:cs="Tahoma"/>
        </w:rPr>
      </w:pPr>
      <w:r>
        <w:rPr>
          <w:rFonts w:ascii="Tahoma" w:hAnsi="Tahoma" w:cs="Tahoma"/>
        </w:rPr>
        <w:t xml:space="preserve">Un doji peut exprimer une pause ou la fin d’un mouvement (ici la baisse entre 130.59 et 129.13). Dans ce contexte, j’utiliserai les bornes de ce doji pour </w:t>
      </w:r>
      <w:r w:rsidR="00EF407B">
        <w:rPr>
          <w:rFonts w:ascii="Tahoma" w:hAnsi="Tahoma" w:cs="Tahoma"/>
        </w:rPr>
        <w:t>opter pour la première ou la seconde</w:t>
      </w:r>
      <w:r w:rsidR="008B41ED">
        <w:rPr>
          <w:rFonts w:ascii="Tahoma" w:hAnsi="Tahoma" w:cs="Tahoma"/>
        </w:rPr>
        <w:t xml:space="preserve"> des possibilités</w:t>
      </w:r>
      <w:r w:rsidR="00182807">
        <w:rPr>
          <w:rFonts w:ascii="Tahoma" w:hAnsi="Tahoma" w:cs="Tahoma"/>
        </w:rPr>
        <w:t>. La cassure de 129.73 avantagera la reprise de la hausse alors que la rupture de 129.13 militera pour une reprise de la baisse.</w:t>
      </w:r>
    </w:p>
    <w:p w14:paraId="78059EA7" w14:textId="77777777" w:rsidR="00386019" w:rsidRDefault="00386019" w:rsidP="00751462">
      <w:pPr>
        <w:jc w:val="both"/>
        <w:rPr>
          <w:rFonts w:ascii="Tahoma" w:hAnsi="Tahoma" w:cs="Tahoma"/>
        </w:rPr>
      </w:pPr>
    </w:p>
    <w:p w14:paraId="601422CA" w14:textId="77777777" w:rsidR="00386019" w:rsidRDefault="00386019" w:rsidP="00751462">
      <w:pPr>
        <w:jc w:val="both"/>
        <w:rPr>
          <w:rFonts w:ascii="Tahoma" w:hAnsi="Tahoma" w:cs="Tahoma"/>
        </w:rPr>
      </w:pPr>
    </w:p>
    <w:p w14:paraId="374D1F17" w14:textId="24AE7426" w:rsidR="00583BC8" w:rsidRDefault="00583BC8" w:rsidP="00B41C02">
      <w:pPr>
        <w:jc w:val="both"/>
        <w:rPr>
          <w:rFonts w:ascii="Tahoma" w:hAnsi="Tahoma" w:cs="Tahoma"/>
        </w:rPr>
      </w:pPr>
    </w:p>
    <w:p w14:paraId="553F1C67" w14:textId="77777777" w:rsidR="009A6A8D" w:rsidRDefault="009A6A8D"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0D6B2B33" w:rsidR="00583BC8" w:rsidRDefault="00751462" w:rsidP="00B41C02">
      <w:pPr>
        <w:jc w:val="both"/>
        <w:rPr>
          <w:rFonts w:ascii="Tahoma" w:hAnsi="Tahoma" w:cs="Tahoma"/>
        </w:rPr>
      </w:pPr>
      <w:r>
        <w:rPr>
          <w:noProof/>
        </w:rPr>
        <w:drawing>
          <wp:inline distT="0" distB="0" distL="0" distR="0" wp14:anchorId="069076D8" wp14:editId="3FE1AD59">
            <wp:extent cx="5760720" cy="4320540"/>
            <wp:effectExtent l="0" t="0" r="0" b="3810"/>
            <wp:docPr id="168558044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444EFD81" w14:textId="49617161" w:rsidR="00EF048A" w:rsidRDefault="004A2D2D" w:rsidP="00041E45">
      <w:pPr>
        <w:jc w:val="both"/>
        <w:rPr>
          <w:rFonts w:ascii="Tahoma" w:hAnsi="Tahoma" w:cs="Tahoma"/>
        </w:rPr>
      </w:pPr>
      <w:r>
        <w:rPr>
          <w:rFonts w:ascii="Tahoma" w:hAnsi="Tahoma" w:cs="Tahoma"/>
        </w:rPr>
        <w:t>S</w:t>
      </w:r>
      <w:r w:rsidR="00B1409B">
        <w:rPr>
          <w:rFonts w:ascii="Tahoma" w:hAnsi="Tahoma" w:cs="Tahoma"/>
        </w:rPr>
        <w:t>ur cette unité de temps, le contrat 10 ans Bund est sorti par le haut de la dérive latérale de court terme après le franchissement de la résistance de 129.5</w:t>
      </w:r>
      <w:r w:rsidR="00EF048A">
        <w:rPr>
          <w:rFonts w:ascii="Tahoma" w:hAnsi="Tahoma" w:cs="Tahoma"/>
        </w:rPr>
        <w:t xml:space="preserve">9. </w:t>
      </w:r>
    </w:p>
    <w:p w14:paraId="5F8CD8FE" w14:textId="40760C50" w:rsidR="00EF048A" w:rsidRDefault="00EF048A" w:rsidP="00041E45">
      <w:pPr>
        <w:jc w:val="both"/>
        <w:rPr>
          <w:rFonts w:ascii="Tahoma" w:hAnsi="Tahoma" w:cs="Tahoma"/>
        </w:rPr>
      </w:pPr>
      <w:r>
        <w:rPr>
          <w:rFonts w:ascii="Tahoma" w:hAnsi="Tahoma" w:cs="Tahoma"/>
        </w:rPr>
        <w:t>Un avalement baissier (le 17 octobre)</w:t>
      </w:r>
      <w:r w:rsidR="004E64D1">
        <w:rPr>
          <w:rFonts w:ascii="Tahoma" w:hAnsi="Tahoma" w:cs="Tahoma"/>
        </w:rPr>
        <w:t>,</w:t>
      </w:r>
      <w:r>
        <w:rPr>
          <w:rFonts w:ascii="Tahoma" w:hAnsi="Tahoma" w:cs="Tahoma"/>
        </w:rPr>
        <w:t xml:space="preserve"> renforcé par u</w:t>
      </w:r>
      <w:r>
        <w:rPr>
          <w:rFonts w:ascii="Tahoma" w:hAnsi="Tahoma" w:cs="Tahoma"/>
        </w:rPr>
        <w:t>n indicateur technique en zone de surachat</w:t>
      </w:r>
      <w:r>
        <w:rPr>
          <w:rFonts w:ascii="Tahoma" w:hAnsi="Tahoma" w:cs="Tahoma"/>
        </w:rPr>
        <w:t xml:space="preserve"> </w:t>
      </w:r>
      <w:r w:rsidR="00987E76">
        <w:rPr>
          <w:rFonts w:ascii="Tahoma" w:hAnsi="Tahoma" w:cs="Tahoma"/>
        </w:rPr>
        <w:t xml:space="preserve">militait pour une correction des prix </w:t>
      </w:r>
      <w:r w:rsidR="004E64D1">
        <w:rPr>
          <w:rFonts w:ascii="Tahoma" w:hAnsi="Tahoma" w:cs="Tahoma"/>
        </w:rPr>
        <w:t>d</w:t>
      </w:r>
      <w:r w:rsidR="00987E76">
        <w:rPr>
          <w:rFonts w:ascii="Tahoma" w:hAnsi="Tahoma" w:cs="Tahoma"/>
        </w:rPr>
        <w:t xml:space="preserve">ans un environnement favorable à la hausse </w:t>
      </w:r>
      <w:r w:rsidR="00045D04">
        <w:rPr>
          <w:rFonts w:ascii="Tahoma" w:hAnsi="Tahoma" w:cs="Tahoma"/>
        </w:rPr>
        <w:t>au-dessus</w:t>
      </w:r>
      <w:r w:rsidR="00987E76">
        <w:rPr>
          <w:rFonts w:ascii="Tahoma" w:hAnsi="Tahoma" w:cs="Tahoma"/>
        </w:rPr>
        <w:t xml:space="preserve"> de 129.59.</w:t>
      </w:r>
    </w:p>
    <w:p w14:paraId="78F7537B" w14:textId="2C77FAFB" w:rsidR="00C613FC" w:rsidRDefault="00C613FC" w:rsidP="00041E45">
      <w:pPr>
        <w:jc w:val="both"/>
        <w:rPr>
          <w:rFonts w:ascii="Tahoma" w:hAnsi="Tahoma" w:cs="Tahoma"/>
        </w:rPr>
      </w:pPr>
      <w:r>
        <w:rPr>
          <w:rFonts w:ascii="Tahoma" w:hAnsi="Tahoma" w:cs="Tahoma"/>
        </w:rPr>
        <w:t xml:space="preserve">Dans une logique d’inversion des polarités, le retour du marché sous la borne haute de la dérive latérale en cassure de 129.59 a remis en question le biais haussier. </w:t>
      </w:r>
    </w:p>
    <w:p w14:paraId="68659F9F" w14:textId="326BCDE8" w:rsidR="008A0F83" w:rsidRDefault="003061C8" w:rsidP="00041E45">
      <w:pPr>
        <w:jc w:val="both"/>
        <w:rPr>
          <w:rFonts w:ascii="Tahoma" w:hAnsi="Tahoma" w:cs="Tahoma"/>
        </w:rPr>
      </w:pPr>
      <w:r>
        <w:rPr>
          <w:rFonts w:ascii="Tahoma" w:hAnsi="Tahoma" w:cs="Tahoma"/>
        </w:rPr>
        <w:t xml:space="preserve">Face à cette remise en cause, plusieurs </w:t>
      </w:r>
      <w:r w:rsidR="00045D04">
        <w:rPr>
          <w:rFonts w:ascii="Tahoma" w:hAnsi="Tahoma" w:cs="Tahoma"/>
        </w:rPr>
        <w:t>éléments</w:t>
      </w:r>
      <w:r>
        <w:rPr>
          <w:rFonts w:ascii="Tahoma" w:hAnsi="Tahoma" w:cs="Tahoma"/>
        </w:rPr>
        <w:t xml:space="preserve"> plaident pour une reprise de la hausse</w:t>
      </w:r>
      <w:r w:rsidR="008A0F83">
        <w:rPr>
          <w:rFonts w:ascii="Tahoma" w:hAnsi="Tahoma" w:cs="Tahoma"/>
        </w:rPr>
        <w:t> :</w:t>
      </w:r>
    </w:p>
    <w:p w14:paraId="68388C21" w14:textId="47A49B86" w:rsidR="003061C8" w:rsidRDefault="008A0F83" w:rsidP="00041E45">
      <w:pPr>
        <w:jc w:val="both"/>
        <w:rPr>
          <w:rFonts w:ascii="Tahoma" w:hAnsi="Tahoma" w:cs="Tahoma"/>
        </w:rPr>
      </w:pPr>
      <w:r>
        <w:rPr>
          <w:rFonts w:ascii="Tahoma" w:hAnsi="Tahoma" w:cs="Tahoma"/>
        </w:rPr>
        <w:t>-</w:t>
      </w:r>
      <w:r w:rsidR="003061C8">
        <w:rPr>
          <w:rFonts w:ascii="Tahoma" w:hAnsi="Tahoma" w:cs="Tahoma"/>
        </w:rPr>
        <w:t xml:space="preserve"> Le plat de KS de 129.24 n’a pas été invalidé</w:t>
      </w:r>
      <w:r w:rsidR="008B41ED">
        <w:rPr>
          <w:rFonts w:ascii="Tahoma" w:hAnsi="Tahoma" w:cs="Tahoma"/>
        </w:rPr>
        <w:t xml:space="preserve"> en </w:t>
      </w:r>
      <w:r w:rsidR="00E67216">
        <w:rPr>
          <w:rFonts w:ascii="Tahoma" w:hAnsi="Tahoma" w:cs="Tahoma"/>
        </w:rPr>
        <w:t>clôture</w:t>
      </w:r>
      <w:r w:rsidR="003061C8">
        <w:rPr>
          <w:rFonts w:ascii="Tahoma" w:hAnsi="Tahoma" w:cs="Tahoma"/>
        </w:rPr>
        <w:t>.</w:t>
      </w:r>
      <w:r w:rsidR="008B41ED">
        <w:rPr>
          <w:rFonts w:ascii="Tahoma" w:hAnsi="Tahoma" w:cs="Tahoma"/>
        </w:rPr>
        <w:t xml:space="preserve"> Je l’avais évoqué </w:t>
      </w:r>
      <w:r w:rsidR="004E64D1">
        <w:rPr>
          <w:rFonts w:ascii="Tahoma" w:hAnsi="Tahoma" w:cs="Tahoma"/>
        </w:rPr>
        <w:t>il y a quelques semaines</w:t>
      </w:r>
      <w:r w:rsidR="003061C8">
        <w:rPr>
          <w:rFonts w:ascii="Tahoma" w:hAnsi="Tahoma" w:cs="Tahoma"/>
        </w:rPr>
        <w:t xml:space="preserve"> </w:t>
      </w:r>
      <w:r w:rsidR="008B41ED">
        <w:rPr>
          <w:rFonts w:ascii="Tahoma" w:hAnsi="Tahoma" w:cs="Tahoma"/>
        </w:rPr>
        <w:t>en cas de</w:t>
      </w:r>
      <w:r w:rsidR="003061C8">
        <w:rPr>
          <w:rFonts w:ascii="Tahoma" w:hAnsi="Tahoma" w:cs="Tahoma"/>
        </w:rPr>
        <w:t xml:space="preserve"> cassure</w:t>
      </w:r>
      <w:r w:rsidR="008B41ED">
        <w:rPr>
          <w:rFonts w:ascii="Tahoma" w:hAnsi="Tahoma" w:cs="Tahoma"/>
        </w:rPr>
        <w:t xml:space="preserve"> </w:t>
      </w:r>
      <w:r w:rsidR="003061C8">
        <w:rPr>
          <w:rFonts w:ascii="Tahoma" w:hAnsi="Tahoma" w:cs="Tahoma"/>
        </w:rPr>
        <w:t xml:space="preserve">de 129.59. </w:t>
      </w:r>
    </w:p>
    <w:p w14:paraId="60EB7F62" w14:textId="48309612" w:rsidR="008A0F83" w:rsidRDefault="008A0F83" w:rsidP="00041E45">
      <w:pPr>
        <w:jc w:val="both"/>
        <w:rPr>
          <w:rFonts w:ascii="Tahoma" w:hAnsi="Tahoma" w:cs="Tahoma"/>
        </w:rPr>
      </w:pPr>
      <w:r>
        <w:rPr>
          <w:rFonts w:ascii="Tahoma" w:hAnsi="Tahoma" w:cs="Tahoma"/>
        </w:rPr>
        <w:t>- Le trend haussier en pointillés rouge</w:t>
      </w:r>
      <w:r w:rsidR="008B41ED">
        <w:rPr>
          <w:rFonts w:ascii="Tahoma" w:hAnsi="Tahoma" w:cs="Tahoma"/>
        </w:rPr>
        <w:t>s</w:t>
      </w:r>
      <w:r>
        <w:rPr>
          <w:rFonts w:ascii="Tahoma" w:hAnsi="Tahoma" w:cs="Tahoma"/>
        </w:rPr>
        <w:t xml:space="preserve"> a</w:t>
      </w:r>
      <w:r w:rsidR="00045D04" w:rsidRPr="00045D04">
        <w:rPr>
          <w:rFonts w:ascii="Tahoma" w:hAnsi="Tahoma" w:cs="Tahoma"/>
        </w:rPr>
        <w:t xml:space="preserve"> </w:t>
      </w:r>
      <w:r w:rsidR="00045D04">
        <w:rPr>
          <w:rFonts w:ascii="Tahoma" w:hAnsi="Tahoma" w:cs="Tahoma"/>
        </w:rPr>
        <w:t>servi</w:t>
      </w:r>
      <w:r>
        <w:rPr>
          <w:rFonts w:ascii="Tahoma" w:hAnsi="Tahoma" w:cs="Tahoma"/>
        </w:rPr>
        <w:t xml:space="preserve"> une nouvelle fois de support. Ce troisième impact l</w:t>
      </w:r>
      <w:r w:rsidR="008B41ED">
        <w:rPr>
          <w:rFonts w:ascii="Tahoma" w:hAnsi="Tahoma" w:cs="Tahoma"/>
        </w:rPr>
        <w:t>e</w:t>
      </w:r>
      <w:r>
        <w:rPr>
          <w:rFonts w:ascii="Tahoma" w:hAnsi="Tahoma" w:cs="Tahoma"/>
        </w:rPr>
        <w:t xml:space="preserve"> renforc</w:t>
      </w:r>
      <w:r w:rsidR="008B41ED">
        <w:rPr>
          <w:rFonts w:ascii="Tahoma" w:hAnsi="Tahoma" w:cs="Tahoma"/>
        </w:rPr>
        <w:t>e</w:t>
      </w:r>
      <w:r>
        <w:rPr>
          <w:rFonts w:ascii="Tahoma" w:hAnsi="Tahoma" w:cs="Tahoma"/>
        </w:rPr>
        <w:t>.</w:t>
      </w:r>
    </w:p>
    <w:p w14:paraId="220164FD" w14:textId="41AAE99D" w:rsidR="008A0F83" w:rsidRDefault="008A0F83" w:rsidP="00041E45">
      <w:pPr>
        <w:jc w:val="both"/>
        <w:rPr>
          <w:rFonts w:ascii="Tahoma" w:hAnsi="Tahoma" w:cs="Tahoma"/>
        </w:rPr>
      </w:pPr>
      <w:r>
        <w:rPr>
          <w:rFonts w:ascii="Tahoma" w:hAnsi="Tahoma" w:cs="Tahoma"/>
        </w:rPr>
        <w:t xml:space="preserve">- </w:t>
      </w:r>
      <w:r w:rsidR="004E64D1">
        <w:rPr>
          <w:rFonts w:ascii="Tahoma" w:hAnsi="Tahoma" w:cs="Tahoma"/>
        </w:rPr>
        <w:t>L</w:t>
      </w:r>
      <w:r>
        <w:rPr>
          <w:rFonts w:ascii="Tahoma" w:hAnsi="Tahoma" w:cs="Tahoma"/>
        </w:rPr>
        <w:t>’indicateur technique arrive en zone de survente.</w:t>
      </w:r>
    </w:p>
    <w:p w14:paraId="530A6C97" w14:textId="045AAF82" w:rsidR="008A0F83" w:rsidRDefault="008A0F83" w:rsidP="00041E45">
      <w:pPr>
        <w:jc w:val="both"/>
        <w:rPr>
          <w:rFonts w:ascii="Tahoma" w:hAnsi="Tahoma" w:cs="Tahoma"/>
        </w:rPr>
      </w:pPr>
      <w:r>
        <w:rPr>
          <w:rFonts w:ascii="Tahoma" w:hAnsi="Tahoma" w:cs="Tahoma"/>
        </w:rPr>
        <w:t xml:space="preserve">Dans ce contexte, le plat de KS </w:t>
      </w:r>
      <w:r w:rsidR="0085146D">
        <w:rPr>
          <w:rFonts w:ascii="Tahoma" w:hAnsi="Tahoma" w:cs="Tahoma"/>
        </w:rPr>
        <w:t xml:space="preserve">(129.24) </w:t>
      </w:r>
      <w:r w:rsidR="0032554D">
        <w:rPr>
          <w:rFonts w:ascii="Tahoma" w:hAnsi="Tahoma" w:cs="Tahoma"/>
        </w:rPr>
        <w:t>et de SSB passée</w:t>
      </w:r>
      <w:r w:rsidR="0085146D">
        <w:rPr>
          <w:rFonts w:ascii="Tahoma" w:hAnsi="Tahoma" w:cs="Tahoma"/>
        </w:rPr>
        <w:t xml:space="preserve"> (129.27)</w:t>
      </w:r>
      <w:r w:rsidR="0032554D">
        <w:rPr>
          <w:rFonts w:ascii="Tahoma" w:hAnsi="Tahoma" w:cs="Tahoma"/>
        </w:rPr>
        <w:t xml:space="preserve"> ne devront pas </w:t>
      </w:r>
      <w:r w:rsidR="00190981">
        <w:rPr>
          <w:rFonts w:ascii="Tahoma" w:hAnsi="Tahoma" w:cs="Tahoma"/>
        </w:rPr>
        <w:t>être</w:t>
      </w:r>
      <w:r w:rsidR="0032554D">
        <w:rPr>
          <w:rFonts w:ascii="Tahoma" w:hAnsi="Tahoma" w:cs="Tahoma"/>
        </w:rPr>
        <w:t xml:space="preserve"> invalidés pour garder un biais favorable à la hausse</w:t>
      </w:r>
      <w:r w:rsidR="0085146D">
        <w:rPr>
          <w:rFonts w:ascii="Tahoma" w:hAnsi="Tahoma" w:cs="Tahoma"/>
        </w:rPr>
        <w:t>.</w:t>
      </w:r>
    </w:p>
    <w:p w14:paraId="1FE5ADF2" w14:textId="77777777" w:rsidR="00B1409B" w:rsidRDefault="00B1409B" w:rsidP="00041E45">
      <w:pPr>
        <w:jc w:val="both"/>
        <w:rPr>
          <w:rFonts w:ascii="Tahoma" w:hAnsi="Tahoma" w:cs="Tahoma"/>
        </w:rPr>
      </w:pPr>
    </w:p>
    <w:p w14:paraId="258EB8FF" w14:textId="4A6BF356" w:rsidR="00B94D71" w:rsidRDefault="00B94D71" w:rsidP="00B94D71">
      <w:pPr>
        <w:jc w:val="both"/>
        <w:rPr>
          <w:rFonts w:ascii="Tahoma" w:hAnsi="Tahoma" w:cs="Tahoma"/>
        </w:rPr>
      </w:pPr>
      <w:r>
        <w:rPr>
          <w:rFonts w:ascii="Tahoma" w:hAnsi="Tahoma" w:cs="Tahoma"/>
          <w:u w:val="single"/>
        </w:rPr>
        <w:lastRenderedPageBreak/>
        <w:t>CONCLUSION</w:t>
      </w:r>
      <w:r>
        <w:rPr>
          <w:rFonts w:ascii="Tahoma" w:hAnsi="Tahoma" w:cs="Tahoma"/>
        </w:rPr>
        <w:t> :</w:t>
      </w:r>
      <w:r w:rsidR="00AB6E91">
        <w:rPr>
          <w:rFonts w:ascii="Tahoma" w:hAnsi="Tahoma" w:cs="Tahoma"/>
        </w:rPr>
        <w:t xml:space="preserve"> Le point important de la semaine sera 129.24/27. Tant que le contrat se maintiendra en </w:t>
      </w:r>
      <w:r w:rsidR="00190981">
        <w:rPr>
          <w:rFonts w:ascii="Tahoma" w:hAnsi="Tahoma" w:cs="Tahoma"/>
        </w:rPr>
        <w:t>clôture</w:t>
      </w:r>
      <w:r w:rsidR="00AB6E91">
        <w:rPr>
          <w:rFonts w:ascii="Tahoma" w:hAnsi="Tahoma" w:cs="Tahoma"/>
        </w:rPr>
        <w:t xml:space="preserve"> </w:t>
      </w:r>
      <w:r w:rsidR="00190981">
        <w:rPr>
          <w:rFonts w:ascii="Tahoma" w:hAnsi="Tahoma" w:cs="Tahoma"/>
        </w:rPr>
        <w:t>au-dessus</w:t>
      </w:r>
      <w:r w:rsidR="00AB6E91">
        <w:rPr>
          <w:rFonts w:ascii="Tahoma" w:hAnsi="Tahoma" w:cs="Tahoma"/>
        </w:rPr>
        <w:t xml:space="preserve"> de ce point, la reprise de la hausse sera avantagée.</w:t>
      </w:r>
    </w:p>
    <w:p w14:paraId="48511FA7" w14:textId="561D945B" w:rsidR="00601B2D" w:rsidRDefault="00601B2D" w:rsidP="00B94D71">
      <w:pPr>
        <w:jc w:val="both"/>
        <w:rPr>
          <w:rFonts w:ascii="Tahoma" w:hAnsi="Tahoma" w:cs="Tahoma"/>
        </w:rPr>
      </w:pPr>
      <w:r>
        <w:rPr>
          <w:rFonts w:ascii="Tahoma" w:hAnsi="Tahoma" w:cs="Tahoma"/>
        </w:rPr>
        <w:t>Cette hausse sera confrontée à une zone de résistance solide comprise entre 130.6</w:t>
      </w:r>
      <w:r w:rsidR="004E64D1">
        <w:rPr>
          <w:rFonts w:ascii="Tahoma" w:hAnsi="Tahoma" w:cs="Tahoma"/>
        </w:rPr>
        <w:t>0</w:t>
      </w:r>
      <w:r>
        <w:rPr>
          <w:rFonts w:ascii="Tahoma" w:hAnsi="Tahoma" w:cs="Tahoma"/>
        </w:rPr>
        <w:t xml:space="preserve"> et 130.97.</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4AED"/>
    <w:rsid w:val="0002580A"/>
    <w:rsid w:val="00041E45"/>
    <w:rsid w:val="00045D04"/>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6351"/>
    <w:rsid w:val="00182807"/>
    <w:rsid w:val="00190981"/>
    <w:rsid w:val="00190995"/>
    <w:rsid w:val="001A4796"/>
    <w:rsid w:val="001D474B"/>
    <w:rsid w:val="001F650A"/>
    <w:rsid w:val="002003AD"/>
    <w:rsid w:val="002421FE"/>
    <w:rsid w:val="00262E25"/>
    <w:rsid w:val="00263ED0"/>
    <w:rsid w:val="002A1F8E"/>
    <w:rsid w:val="002B063E"/>
    <w:rsid w:val="002B1060"/>
    <w:rsid w:val="002B5CB1"/>
    <w:rsid w:val="002C0A31"/>
    <w:rsid w:val="002D2910"/>
    <w:rsid w:val="002F54B0"/>
    <w:rsid w:val="00303214"/>
    <w:rsid w:val="003061C8"/>
    <w:rsid w:val="0030643B"/>
    <w:rsid w:val="0032554D"/>
    <w:rsid w:val="00333244"/>
    <w:rsid w:val="00333B2C"/>
    <w:rsid w:val="00337611"/>
    <w:rsid w:val="00340FD9"/>
    <w:rsid w:val="00352DD9"/>
    <w:rsid w:val="003767E0"/>
    <w:rsid w:val="00386019"/>
    <w:rsid w:val="00390792"/>
    <w:rsid w:val="00397D3D"/>
    <w:rsid w:val="0040171B"/>
    <w:rsid w:val="00467005"/>
    <w:rsid w:val="004700EA"/>
    <w:rsid w:val="004740F1"/>
    <w:rsid w:val="004A2D2D"/>
    <w:rsid w:val="004A5154"/>
    <w:rsid w:val="004E64D1"/>
    <w:rsid w:val="004F48EE"/>
    <w:rsid w:val="00531928"/>
    <w:rsid w:val="005440A4"/>
    <w:rsid w:val="00546A5A"/>
    <w:rsid w:val="00566580"/>
    <w:rsid w:val="00567AF3"/>
    <w:rsid w:val="00583BC8"/>
    <w:rsid w:val="00601B2D"/>
    <w:rsid w:val="00654380"/>
    <w:rsid w:val="00664BE1"/>
    <w:rsid w:val="006B055C"/>
    <w:rsid w:val="006B29B5"/>
    <w:rsid w:val="006D442C"/>
    <w:rsid w:val="006E32BB"/>
    <w:rsid w:val="006E38E0"/>
    <w:rsid w:val="00710599"/>
    <w:rsid w:val="00723F77"/>
    <w:rsid w:val="00744696"/>
    <w:rsid w:val="00751462"/>
    <w:rsid w:val="00765F27"/>
    <w:rsid w:val="00772067"/>
    <w:rsid w:val="0077545D"/>
    <w:rsid w:val="007A0A4B"/>
    <w:rsid w:val="007A0E6C"/>
    <w:rsid w:val="007B1237"/>
    <w:rsid w:val="007B661D"/>
    <w:rsid w:val="007D19FF"/>
    <w:rsid w:val="007D2085"/>
    <w:rsid w:val="007D4181"/>
    <w:rsid w:val="0083454A"/>
    <w:rsid w:val="00837B38"/>
    <w:rsid w:val="0085146D"/>
    <w:rsid w:val="00875AB1"/>
    <w:rsid w:val="00896554"/>
    <w:rsid w:val="008A0F83"/>
    <w:rsid w:val="008A7407"/>
    <w:rsid w:val="008B41ED"/>
    <w:rsid w:val="008F0ACC"/>
    <w:rsid w:val="008F10C2"/>
    <w:rsid w:val="00902D2F"/>
    <w:rsid w:val="009241E4"/>
    <w:rsid w:val="00961FDF"/>
    <w:rsid w:val="00964D32"/>
    <w:rsid w:val="00983B7D"/>
    <w:rsid w:val="00987E76"/>
    <w:rsid w:val="009A37C2"/>
    <w:rsid w:val="009A6A8D"/>
    <w:rsid w:val="009F3AB8"/>
    <w:rsid w:val="00A10889"/>
    <w:rsid w:val="00A11606"/>
    <w:rsid w:val="00A6401C"/>
    <w:rsid w:val="00A81AB7"/>
    <w:rsid w:val="00AA522C"/>
    <w:rsid w:val="00AB6E91"/>
    <w:rsid w:val="00AE7F3B"/>
    <w:rsid w:val="00B1409B"/>
    <w:rsid w:val="00B34260"/>
    <w:rsid w:val="00B360B9"/>
    <w:rsid w:val="00B41C02"/>
    <w:rsid w:val="00B4335A"/>
    <w:rsid w:val="00B50E38"/>
    <w:rsid w:val="00B554B8"/>
    <w:rsid w:val="00B64EE0"/>
    <w:rsid w:val="00B94D71"/>
    <w:rsid w:val="00BB0E32"/>
    <w:rsid w:val="00BB6D9D"/>
    <w:rsid w:val="00BC77A5"/>
    <w:rsid w:val="00BD3FC1"/>
    <w:rsid w:val="00C17ED7"/>
    <w:rsid w:val="00C41F15"/>
    <w:rsid w:val="00C613FC"/>
    <w:rsid w:val="00C70171"/>
    <w:rsid w:val="00C70A68"/>
    <w:rsid w:val="00C82E98"/>
    <w:rsid w:val="00CB17C9"/>
    <w:rsid w:val="00CB35C4"/>
    <w:rsid w:val="00CC72FF"/>
    <w:rsid w:val="00CC7C21"/>
    <w:rsid w:val="00CE0886"/>
    <w:rsid w:val="00CF2516"/>
    <w:rsid w:val="00CF6D63"/>
    <w:rsid w:val="00D23B28"/>
    <w:rsid w:val="00D46C8D"/>
    <w:rsid w:val="00DA1359"/>
    <w:rsid w:val="00DE5444"/>
    <w:rsid w:val="00DF072F"/>
    <w:rsid w:val="00E32014"/>
    <w:rsid w:val="00E3727C"/>
    <w:rsid w:val="00E67216"/>
    <w:rsid w:val="00EB58BA"/>
    <w:rsid w:val="00EE6B93"/>
    <w:rsid w:val="00EF048A"/>
    <w:rsid w:val="00EF407B"/>
    <w:rsid w:val="00F04A6E"/>
    <w:rsid w:val="00F04DEF"/>
    <w:rsid w:val="00F15193"/>
    <w:rsid w:val="00F31070"/>
    <w:rsid w:val="00F53F10"/>
    <w:rsid w:val="00F636F8"/>
    <w:rsid w:val="00F65D88"/>
    <w:rsid w:val="00F73EFD"/>
    <w:rsid w:val="00F94FC6"/>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4</Pages>
  <Words>700</Words>
  <Characters>3855</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138</cp:revision>
  <dcterms:created xsi:type="dcterms:W3CDTF">2021-11-25T09:44:00Z</dcterms:created>
  <dcterms:modified xsi:type="dcterms:W3CDTF">2025-11-01T10:25:00Z</dcterms:modified>
</cp:coreProperties>
</file>