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DD09628" w:rsidR="00902D2F" w:rsidRDefault="00FF6B4E" w:rsidP="00B41C02">
      <w:pPr>
        <w:jc w:val="both"/>
        <w:rPr>
          <w:rFonts w:ascii="Tahoma" w:hAnsi="Tahoma" w:cs="Tahoma"/>
        </w:rPr>
      </w:pPr>
      <w:r>
        <w:rPr>
          <w:noProof/>
        </w:rPr>
        <w:drawing>
          <wp:inline distT="0" distB="0" distL="0" distR="0" wp14:anchorId="0C01FF3F" wp14:editId="643D5CDF">
            <wp:extent cx="5760720" cy="4320540"/>
            <wp:effectExtent l="0" t="0" r="0" b="3810"/>
            <wp:docPr id="165974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1ECDFA23" w:rsidR="00DF072F" w:rsidRDefault="00041E45" w:rsidP="00B41C02">
      <w:pPr>
        <w:jc w:val="both"/>
        <w:rPr>
          <w:rFonts w:ascii="Tahoma" w:hAnsi="Tahoma" w:cs="Tahoma"/>
        </w:rPr>
      </w:pPr>
      <w:r>
        <w:rPr>
          <w:rFonts w:ascii="Tahoma" w:hAnsi="Tahoma" w:cs="Tahoma"/>
        </w:rPr>
        <w:t>L</w:t>
      </w:r>
      <w:r w:rsidR="001A4796">
        <w:rPr>
          <w:rFonts w:ascii="Tahoma" w:hAnsi="Tahoma" w:cs="Tahoma"/>
        </w:rPr>
        <w:t>a</w:t>
      </w:r>
      <w:r w:rsidR="00902698">
        <w:rPr>
          <w:rFonts w:ascii="Tahoma" w:hAnsi="Tahoma" w:cs="Tahoma"/>
        </w:rPr>
        <w:t xml:space="preserve"> longue chandelle noire de la semaine du 03 mars continue de peser négativement sur l’évolution des prix. </w:t>
      </w:r>
      <w:r w:rsidR="007841C2">
        <w:rPr>
          <w:rFonts w:ascii="Tahoma" w:hAnsi="Tahoma" w:cs="Tahoma"/>
        </w:rPr>
        <w:t xml:space="preserve">Malgré une remontrée du contrat </w:t>
      </w:r>
      <w:r w:rsidR="00DC230D">
        <w:rPr>
          <w:rFonts w:ascii="Tahoma" w:hAnsi="Tahoma" w:cs="Tahoma"/>
        </w:rPr>
        <w:t>depuis</w:t>
      </w:r>
      <w:r w:rsidR="007841C2">
        <w:rPr>
          <w:rFonts w:ascii="Tahoma" w:hAnsi="Tahoma" w:cs="Tahoma"/>
        </w:rPr>
        <w:t xml:space="preserve"> sa formation, le Bund n’est pas parvenu à dépasser son point haut de 130.97. C’est pour cette raison que l’on peut penser que son</w:t>
      </w:r>
      <w:r w:rsidR="00902698">
        <w:rPr>
          <w:rFonts w:ascii="Tahoma" w:hAnsi="Tahoma" w:cs="Tahoma"/>
        </w:rPr>
        <w:t xml:space="preserve"> influence </w:t>
      </w:r>
      <w:r w:rsidR="007841C2">
        <w:rPr>
          <w:rFonts w:ascii="Tahoma" w:hAnsi="Tahoma" w:cs="Tahoma"/>
        </w:rPr>
        <w:t xml:space="preserve">négative impacte </w:t>
      </w:r>
      <w:r w:rsidR="00DC230D">
        <w:rPr>
          <w:rFonts w:ascii="Tahoma" w:hAnsi="Tahoma" w:cs="Tahoma"/>
        </w:rPr>
        <w:t xml:space="preserve">toujours </w:t>
      </w:r>
      <w:r w:rsidR="007841C2">
        <w:rPr>
          <w:rFonts w:ascii="Tahoma" w:hAnsi="Tahoma" w:cs="Tahoma"/>
        </w:rPr>
        <w:t>l’évolution du marché.</w:t>
      </w:r>
    </w:p>
    <w:p w14:paraId="18A6680C" w14:textId="28C12C79" w:rsidR="007841C2" w:rsidRDefault="007841C2" w:rsidP="00B41C02">
      <w:pPr>
        <w:jc w:val="both"/>
        <w:rPr>
          <w:rFonts w:ascii="Tahoma" w:hAnsi="Tahoma" w:cs="Tahoma"/>
        </w:rPr>
      </w:pPr>
      <w:r>
        <w:rPr>
          <w:rFonts w:ascii="Tahoma" w:hAnsi="Tahoma" w:cs="Tahoma"/>
        </w:rPr>
        <w:t xml:space="preserve">Pour autant, le marché évolue au sein d’une dérive latérale </w:t>
      </w:r>
      <w:r w:rsidR="00B25740">
        <w:rPr>
          <w:rFonts w:ascii="Tahoma" w:hAnsi="Tahoma" w:cs="Tahoma"/>
        </w:rPr>
        <w:t>cadrée par un support à 126.43 et une résistance sur 136.01.</w:t>
      </w:r>
      <w:r w:rsidR="00DC0A02">
        <w:rPr>
          <w:rFonts w:ascii="Tahoma" w:hAnsi="Tahoma" w:cs="Tahoma"/>
        </w:rPr>
        <w:t xml:space="preserve"> La zone d’équilibre est comprise entre le plat de SSB de 130.60 et le point haut de 130.97.</w:t>
      </w:r>
    </w:p>
    <w:p w14:paraId="5366F2AD" w14:textId="5F01C71C" w:rsidR="00990C14" w:rsidRDefault="00990C14" w:rsidP="00B41C02">
      <w:pPr>
        <w:jc w:val="both"/>
        <w:rPr>
          <w:rFonts w:ascii="Tahoma" w:hAnsi="Tahoma" w:cs="Tahoma"/>
        </w:rPr>
      </w:pPr>
      <w:r>
        <w:rPr>
          <w:rFonts w:ascii="Tahoma" w:hAnsi="Tahoma" w:cs="Tahoma"/>
        </w:rPr>
        <w:t>La baisse de la semaine ne remet pas en question la consolidation de moyen terme. Les prix sont encore trop éloignés des bornes. Mais la dernière chandelle noire milite pour une remise en cause de la dernière vague de hausse comprise entre 127.88 et 130.60.</w:t>
      </w:r>
    </w:p>
    <w:p w14:paraId="7E4EFEF5" w14:textId="77777777" w:rsidR="00990C14" w:rsidRDefault="00990C14"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9925065" w:rsidR="00583BC8" w:rsidRDefault="00FF6B4E" w:rsidP="00B41C02">
      <w:pPr>
        <w:jc w:val="both"/>
        <w:rPr>
          <w:rFonts w:ascii="Tahoma" w:hAnsi="Tahoma" w:cs="Tahoma"/>
        </w:rPr>
      </w:pPr>
      <w:r>
        <w:rPr>
          <w:noProof/>
        </w:rPr>
        <w:lastRenderedPageBreak/>
        <w:drawing>
          <wp:inline distT="0" distB="0" distL="0" distR="0" wp14:anchorId="7B5A2608" wp14:editId="24D7CBA0">
            <wp:extent cx="5760720" cy="4320540"/>
            <wp:effectExtent l="0" t="0" r="0" b="3810"/>
            <wp:docPr id="120969032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533A17B6" w:rsidR="00467005" w:rsidRDefault="00450B4E" w:rsidP="00041E45">
      <w:pPr>
        <w:jc w:val="both"/>
        <w:rPr>
          <w:rFonts w:ascii="Tahoma" w:hAnsi="Tahoma" w:cs="Tahoma"/>
        </w:rPr>
      </w:pPr>
      <w:r>
        <w:rPr>
          <w:rFonts w:ascii="Tahoma" w:hAnsi="Tahoma" w:cs="Tahoma"/>
        </w:rPr>
        <w:t>Le contexte de court terme donne un avantage favorable à la baisse des prix. L’enchainement des chandelles montre que les bougies blanches donc haussières sont suivies systématiquement par des réactions baissières plus intenses.</w:t>
      </w:r>
    </w:p>
    <w:p w14:paraId="28795EE4" w14:textId="10CF5F25" w:rsidR="00450B4E" w:rsidRDefault="00450B4E" w:rsidP="00041E45">
      <w:pPr>
        <w:jc w:val="both"/>
        <w:rPr>
          <w:rFonts w:ascii="Tahoma" w:hAnsi="Tahoma" w:cs="Tahoma"/>
        </w:rPr>
      </w:pPr>
      <w:r>
        <w:rPr>
          <w:rFonts w:ascii="Tahoma" w:hAnsi="Tahoma" w:cs="Tahoma"/>
        </w:rPr>
        <w:t>Le dernier chandelier casse le support intermédiaire de 128.</w:t>
      </w:r>
      <w:r w:rsidR="008305E0">
        <w:rPr>
          <w:rFonts w:ascii="Tahoma" w:hAnsi="Tahoma" w:cs="Tahoma"/>
        </w:rPr>
        <w:t>8</w:t>
      </w:r>
      <w:r w:rsidR="00E3529D">
        <w:rPr>
          <w:rFonts w:ascii="Tahoma" w:hAnsi="Tahoma" w:cs="Tahoma"/>
        </w:rPr>
        <w:t>0 et favorise une poursuite de la baisse commencée il y a trois jours.</w:t>
      </w:r>
    </w:p>
    <w:p w14:paraId="0F812BCE" w14:textId="4AA3E8CF" w:rsidR="006368AA" w:rsidRDefault="006368AA" w:rsidP="00041E45">
      <w:pPr>
        <w:jc w:val="both"/>
        <w:rPr>
          <w:rFonts w:ascii="Tahoma" w:hAnsi="Tahoma" w:cs="Tahoma"/>
        </w:rPr>
      </w:pPr>
      <w:r>
        <w:rPr>
          <w:rFonts w:ascii="Tahoma" w:hAnsi="Tahoma" w:cs="Tahoma"/>
        </w:rPr>
        <w:t>Pour autant je nuancerai ce</w:t>
      </w:r>
      <w:r w:rsidR="00457F37">
        <w:rPr>
          <w:rFonts w:ascii="Tahoma" w:hAnsi="Tahoma" w:cs="Tahoma"/>
        </w:rPr>
        <w:t xml:space="preserve"> point de vue. Le contrat Bund est toujours </w:t>
      </w:r>
      <w:r w:rsidR="001F6759">
        <w:rPr>
          <w:rFonts w:ascii="Tahoma" w:hAnsi="Tahoma" w:cs="Tahoma"/>
        </w:rPr>
        <w:t>au-dessus</w:t>
      </w:r>
      <w:r w:rsidR="00457F37">
        <w:rPr>
          <w:rFonts w:ascii="Tahoma" w:hAnsi="Tahoma" w:cs="Tahoma"/>
        </w:rPr>
        <w:t xml:space="preserve"> de son nuage tout comme la LS. Mais ces deux courbes sont sur </w:t>
      </w:r>
      <w:r w:rsidR="0028340D">
        <w:rPr>
          <w:rFonts w:ascii="Tahoma" w:hAnsi="Tahoma" w:cs="Tahoma"/>
        </w:rPr>
        <w:t>des</w:t>
      </w:r>
      <w:r w:rsidR="00457F37">
        <w:rPr>
          <w:rFonts w:ascii="Tahoma" w:hAnsi="Tahoma" w:cs="Tahoma"/>
        </w:rPr>
        <w:t xml:space="preserve"> niveau</w:t>
      </w:r>
      <w:r w:rsidR="0028340D">
        <w:rPr>
          <w:rFonts w:ascii="Tahoma" w:hAnsi="Tahoma" w:cs="Tahoma"/>
        </w:rPr>
        <w:t>x</w:t>
      </w:r>
      <w:r w:rsidR="00457F37">
        <w:rPr>
          <w:rFonts w:ascii="Tahoma" w:hAnsi="Tahoma" w:cs="Tahoma"/>
        </w:rPr>
        <w:t xml:space="preserve"> clé</w:t>
      </w:r>
      <w:r w:rsidR="0028340D">
        <w:rPr>
          <w:rFonts w:ascii="Tahoma" w:hAnsi="Tahoma" w:cs="Tahoma"/>
        </w:rPr>
        <w:t>s</w:t>
      </w:r>
      <w:r w:rsidR="00457F37">
        <w:rPr>
          <w:rFonts w:ascii="Tahoma" w:hAnsi="Tahoma" w:cs="Tahoma"/>
        </w:rPr>
        <w:t xml:space="preserve">. </w:t>
      </w:r>
      <w:r w:rsidR="00E57F9F">
        <w:rPr>
          <w:rFonts w:ascii="Tahoma" w:hAnsi="Tahoma" w:cs="Tahoma"/>
        </w:rPr>
        <w:t>En effet la LS ne passera sous nuage qu’en rupture de 128.52 et il en sera de même pour les prix en dépassement de 128.59.</w:t>
      </w:r>
      <w:r w:rsidR="0049429E">
        <w:rPr>
          <w:rFonts w:ascii="Tahoma" w:hAnsi="Tahoma" w:cs="Tahoma"/>
        </w:rPr>
        <w:t xml:space="preserve"> L’indicateur technique en zone de survente limite le potentiel de baisse au bas précédent de 127.89.</w:t>
      </w:r>
    </w:p>
    <w:p w14:paraId="10BB9766" w14:textId="77777777" w:rsidR="00723F77" w:rsidRDefault="00723F77" w:rsidP="00041E45">
      <w:pPr>
        <w:jc w:val="both"/>
        <w:rPr>
          <w:rFonts w:ascii="Tahoma" w:hAnsi="Tahoma" w:cs="Tahoma"/>
        </w:rPr>
      </w:pPr>
    </w:p>
    <w:p w14:paraId="258EB8FF" w14:textId="66CD2706"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9429E">
        <w:rPr>
          <w:rFonts w:ascii="Tahoma" w:hAnsi="Tahoma" w:cs="Tahoma"/>
        </w:rPr>
        <w:t xml:space="preserve"> </w:t>
      </w:r>
      <w:r w:rsidR="008305E0">
        <w:rPr>
          <w:rFonts w:ascii="Tahoma" w:hAnsi="Tahoma" w:cs="Tahoma"/>
        </w:rPr>
        <w:t>M</w:t>
      </w:r>
      <w:r w:rsidR="0049429E">
        <w:rPr>
          <w:rFonts w:ascii="Tahoma" w:hAnsi="Tahoma" w:cs="Tahoma"/>
        </w:rPr>
        <w:t>a vue reste la même que la semaine dernière. La baisse des prix pourrait s’épuiser car le marché est survendu et que cours et LS sont sur des support</w:t>
      </w:r>
      <w:r w:rsidR="00906638">
        <w:rPr>
          <w:rFonts w:ascii="Tahoma" w:hAnsi="Tahoma" w:cs="Tahoma"/>
        </w:rPr>
        <w:t>s</w:t>
      </w:r>
      <w:r w:rsidR="0049429E">
        <w:rPr>
          <w:rFonts w:ascii="Tahoma" w:hAnsi="Tahoma" w:cs="Tahoma"/>
        </w:rPr>
        <w:t xml:space="preserve">. Mais si le mouvement de baisse </w:t>
      </w:r>
      <w:r w:rsidR="001F6759">
        <w:rPr>
          <w:rFonts w:ascii="Tahoma" w:hAnsi="Tahoma" w:cs="Tahoma"/>
        </w:rPr>
        <w:t xml:space="preserve">avantagé actuellement, </w:t>
      </w:r>
      <w:r w:rsidR="0049429E">
        <w:rPr>
          <w:rFonts w:ascii="Tahoma" w:hAnsi="Tahoma" w:cs="Tahoma"/>
        </w:rPr>
        <w:t xml:space="preserve">ne se poursuit pas au cours des prochains échanges, une consolidation sera </w:t>
      </w:r>
      <w:r w:rsidR="00906638">
        <w:rPr>
          <w:rFonts w:ascii="Tahoma" w:hAnsi="Tahoma" w:cs="Tahoma"/>
        </w:rPr>
        <w:t>favoris</w:t>
      </w:r>
      <w:r w:rsidR="0049429E">
        <w:rPr>
          <w:rFonts w:ascii="Tahoma" w:hAnsi="Tahoma" w:cs="Tahoma"/>
        </w:rPr>
        <w:t xml:space="preserve">ée car les intervenants manquent de convictions </w:t>
      </w:r>
      <w:r w:rsidR="00906638">
        <w:rPr>
          <w:rFonts w:ascii="Tahoma" w:hAnsi="Tahoma" w:cs="Tahoma"/>
        </w:rPr>
        <w:t>pour faire repartir les cours à la hausse.</w:t>
      </w:r>
    </w:p>
    <w:p w14:paraId="655E9AC0" w14:textId="73891DA0" w:rsidR="00723F77" w:rsidRDefault="00723F77"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1F6759"/>
    <w:rsid w:val="002003AD"/>
    <w:rsid w:val="002421FE"/>
    <w:rsid w:val="00262E25"/>
    <w:rsid w:val="00263ED0"/>
    <w:rsid w:val="0028340D"/>
    <w:rsid w:val="002A1F8E"/>
    <w:rsid w:val="002B5CB1"/>
    <w:rsid w:val="002C0A31"/>
    <w:rsid w:val="002F54B0"/>
    <w:rsid w:val="00303214"/>
    <w:rsid w:val="0030628D"/>
    <w:rsid w:val="0030643B"/>
    <w:rsid w:val="00337611"/>
    <w:rsid w:val="00340FD9"/>
    <w:rsid w:val="00352DD9"/>
    <w:rsid w:val="003767E0"/>
    <w:rsid w:val="00397D3D"/>
    <w:rsid w:val="0040171B"/>
    <w:rsid w:val="00450B4E"/>
    <w:rsid w:val="00457F37"/>
    <w:rsid w:val="00467005"/>
    <w:rsid w:val="0049429E"/>
    <w:rsid w:val="004A2D2D"/>
    <w:rsid w:val="004A5154"/>
    <w:rsid w:val="004F48EE"/>
    <w:rsid w:val="00531928"/>
    <w:rsid w:val="005440A4"/>
    <w:rsid w:val="00546A5A"/>
    <w:rsid w:val="00566580"/>
    <w:rsid w:val="00567AF3"/>
    <w:rsid w:val="00583BC8"/>
    <w:rsid w:val="006368AA"/>
    <w:rsid w:val="00654380"/>
    <w:rsid w:val="00664BE1"/>
    <w:rsid w:val="006B055C"/>
    <w:rsid w:val="006E32BB"/>
    <w:rsid w:val="006E38E0"/>
    <w:rsid w:val="00710599"/>
    <w:rsid w:val="00723F77"/>
    <w:rsid w:val="00744696"/>
    <w:rsid w:val="00772067"/>
    <w:rsid w:val="0077545D"/>
    <w:rsid w:val="007841C2"/>
    <w:rsid w:val="007A0A4B"/>
    <w:rsid w:val="007A0E6C"/>
    <w:rsid w:val="007B1237"/>
    <w:rsid w:val="007B661D"/>
    <w:rsid w:val="007D19FF"/>
    <w:rsid w:val="007D2085"/>
    <w:rsid w:val="007D4181"/>
    <w:rsid w:val="008305E0"/>
    <w:rsid w:val="0083454A"/>
    <w:rsid w:val="00837B38"/>
    <w:rsid w:val="00896554"/>
    <w:rsid w:val="008A7407"/>
    <w:rsid w:val="008F10C2"/>
    <w:rsid w:val="00902698"/>
    <w:rsid w:val="00902D2F"/>
    <w:rsid w:val="00906638"/>
    <w:rsid w:val="00961FDF"/>
    <w:rsid w:val="00983B7D"/>
    <w:rsid w:val="00990C14"/>
    <w:rsid w:val="009A37C2"/>
    <w:rsid w:val="009A5DBD"/>
    <w:rsid w:val="009C7DFE"/>
    <w:rsid w:val="009F3AB8"/>
    <w:rsid w:val="00A11606"/>
    <w:rsid w:val="00A6401C"/>
    <w:rsid w:val="00A81AB7"/>
    <w:rsid w:val="00AA522C"/>
    <w:rsid w:val="00AE7F3B"/>
    <w:rsid w:val="00B25740"/>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C0A02"/>
    <w:rsid w:val="00DC230D"/>
    <w:rsid w:val="00DE5444"/>
    <w:rsid w:val="00DF072F"/>
    <w:rsid w:val="00E32014"/>
    <w:rsid w:val="00E3529D"/>
    <w:rsid w:val="00E3727C"/>
    <w:rsid w:val="00E57F9F"/>
    <w:rsid w:val="00EB58BA"/>
    <w:rsid w:val="00EE6B93"/>
    <w:rsid w:val="00F04A6E"/>
    <w:rsid w:val="00F04DEF"/>
    <w:rsid w:val="00F31070"/>
    <w:rsid w:val="00F53F10"/>
    <w:rsid w:val="00F636F8"/>
    <w:rsid w:val="00FA2C8E"/>
    <w:rsid w:val="00FC1860"/>
    <w:rsid w:val="00FC7EA5"/>
    <w:rsid w:val="00FF6B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3</Pages>
  <Words>443</Words>
  <Characters>2442</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2025-11-15T15:48:00Z</dcterms:modified>
</cp:coreProperties>
</file>