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4F810FB" w:rsidR="00902D2F" w:rsidRDefault="00C318B1" w:rsidP="00B41C02">
      <w:pPr>
        <w:jc w:val="both"/>
        <w:rPr>
          <w:rFonts w:ascii="Tahoma" w:hAnsi="Tahoma" w:cs="Tahoma"/>
        </w:rPr>
      </w:pPr>
      <w:r>
        <w:rPr>
          <w:noProof/>
        </w:rPr>
        <w:drawing>
          <wp:inline distT="0" distB="0" distL="0" distR="0" wp14:anchorId="27950BA1" wp14:editId="54D7C505">
            <wp:extent cx="5760720" cy="4320540"/>
            <wp:effectExtent l="0" t="0" r="0" b="3810"/>
            <wp:docPr id="9166761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389BDF9A" w:rsidR="00DF072F" w:rsidRDefault="00041E45" w:rsidP="00B41C02">
      <w:pPr>
        <w:jc w:val="both"/>
        <w:rPr>
          <w:rFonts w:ascii="Tahoma" w:hAnsi="Tahoma" w:cs="Tahoma"/>
        </w:rPr>
      </w:pPr>
      <w:r>
        <w:rPr>
          <w:rFonts w:ascii="Tahoma" w:hAnsi="Tahoma" w:cs="Tahoma"/>
        </w:rPr>
        <w:t>L</w:t>
      </w:r>
      <w:r w:rsidR="001A4796">
        <w:rPr>
          <w:rFonts w:ascii="Tahoma" w:hAnsi="Tahoma" w:cs="Tahoma"/>
        </w:rPr>
        <w:t>a</w:t>
      </w:r>
      <w:r w:rsidR="0080322E">
        <w:rPr>
          <w:rFonts w:ascii="Tahoma" w:hAnsi="Tahoma" w:cs="Tahoma"/>
        </w:rPr>
        <w:t xml:space="preserve"> consolidation horizontale se </w:t>
      </w:r>
      <w:r w:rsidR="005B68F1">
        <w:rPr>
          <w:rFonts w:ascii="Tahoma" w:hAnsi="Tahoma" w:cs="Tahoma"/>
        </w:rPr>
        <w:t xml:space="preserve">poursuivra </w:t>
      </w:r>
      <w:r w:rsidR="0080322E">
        <w:rPr>
          <w:rFonts w:ascii="Tahoma" w:hAnsi="Tahoma" w:cs="Tahoma"/>
        </w:rPr>
        <w:t xml:space="preserve">tant que </w:t>
      </w:r>
      <w:r w:rsidR="00C80C45">
        <w:rPr>
          <w:rFonts w:ascii="Tahoma" w:hAnsi="Tahoma" w:cs="Tahoma"/>
        </w:rPr>
        <w:t xml:space="preserve">la résistance de 136.30 </w:t>
      </w:r>
      <w:r w:rsidR="00C80C45">
        <w:rPr>
          <w:rFonts w:ascii="Tahoma" w:hAnsi="Tahoma" w:cs="Tahoma"/>
        </w:rPr>
        <w:t xml:space="preserve">ou que </w:t>
      </w:r>
      <w:r w:rsidR="0080322E">
        <w:rPr>
          <w:rFonts w:ascii="Tahoma" w:hAnsi="Tahoma" w:cs="Tahoma"/>
        </w:rPr>
        <w:t xml:space="preserve">le support de 126.72 </w:t>
      </w:r>
      <w:r w:rsidR="00AE73E4">
        <w:rPr>
          <w:rFonts w:ascii="Tahoma" w:hAnsi="Tahoma" w:cs="Tahoma"/>
        </w:rPr>
        <w:t>ne ser</w:t>
      </w:r>
      <w:r w:rsidR="00BE5EDF">
        <w:rPr>
          <w:rFonts w:ascii="Tahoma" w:hAnsi="Tahoma" w:cs="Tahoma"/>
        </w:rPr>
        <w:t xml:space="preserve">ont </w:t>
      </w:r>
      <w:r w:rsidR="00AE73E4">
        <w:rPr>
          <w:rFonts w:ascii="Tahoma" w:hAnsi="Tahoma" w:cs="Tahoma"/>
        </w:rPr>
        <w:t xml:space="preserve">pas </w:t>
      </w:r>
      <w:r w:rsidR="00162AB7">
        <w:rPr>
          <w:rFonts w:ascii="Tahoma" w:hAnsi="Tahoma" w:cs="Tahoma"/>
        </w:rPr>
        <w:t>invalidé</w:t>
      </w:r>
      <w:r w:rsidR="00BE5EDF">
        <w:rPr>
          <w:rFonts w:ascii="Tahoma" w:hAnsi="Tahoma" w:cs="Tahoma"/>
        </w:rPr>
        <w:t>s</w:t>
      </w:r>
      <w:r w:rsidR="00AE73E4">
        <w:rPr>
          <w:rFonts w:ascii="Tahoma" w:hAnsi="Tahoma" w:cs="Tahoma"/>
        </w:rPr>
        <w:t xml:space="preserve"> par une </w:t>
      </w:r>
      <w:r w:rsidR="00162AB7">
        <w:rPr>
          <w:rFonts w:ascii="Tahoma" w:hAnsi="Tahoma" w:cs="Tahoma"/>
        </w:rPr>
        <w:t>clôture</w:t>
      </w:r>
      <w:r w:rsidR="00AE73E4">
        <w:rPr>
          <w:rFonts w:ascii="Tahoma" w:hAnsi="Tahoma" w:cs="Tahoma"/>
        </w:rPr>
        <w:t>.</w:t>
      </w:r>
    </w:p>
    <w:p w14:paraId="63DACD61" w14:textId="4EDDF62E" w:rsidR="005B68F1" w:rsidRDefault="005B68F1" w:rsidP="00B41C02">
      <w:pPr>
        <w:jc w:val="both"/>
        <w:rPr>
          <w:rFonts w:ascii="Tahoma" w:hAnsi="Tahoma" w:cs="Tahoma"/>
        </w:rPr>
      </w:pPr>
      <w:r>
        <w:rPr>
          <w:rFonts w:ascii="Tahoma" w:hAnsi="Tahoma" w:cs="Tahoma"/>
        </w:rPr>
        <w:t xml:space="preserve">Au </w:t>
      </w:r>
      <w:r w:rsidR="009740FB">
        <w:rPr>
          <w:rFonts w:ascii="Tahoma" w:hAnsi="Tahoma" w:cs="Tahoma"/>
        </w:rPr>
        <w:t>sein</w:t>
      </w:r>
      <w:r>
        <w:rPr>
          <w:rFonts w:ascii="Tahoma" w:hAnsi="Tahoma" w:cs="Tahoma"/>
        </w:rPr>
        <w:t xml:space="preserve"> de cette dérive latérale, la longue chandelle noire de la semaine du 03 mars </w:t>
      </w:r>
      <w:r w:rsidR="00162AB7">
        <w:rPr>
          <w:rFonts w:ascii="Tahoma" w:hAnsi="Tahoma" w:cs="Tahoma"/>
        </w:rPr>
        <w:t>pèse</w:t>
      </w:r>
      <w:r>
        <w:rPr>
          <w:rFonts w:ascii="Tahoma" w:hAnsi="Tahoma" w:cs="Tahoma"/>
        </w:rPr>
        <w:t xml:space="preserve"> toujours négativement sur les prix.</w:t>
      </w:r>
      <w:r w:rsidR="00562001">
        <w:rPr>
          <w:rFonts w:ascii="Tahoma" w:hAnsi="Tahoma" w:cs="Tahoma"/>
        </w:rPr>
        <w:t xml:space="preserve"> </w:t>
      </w:r>
      <w:r w:rsidR="009973D9">
        <w:rPr>
          <w:rFonts w:ascii="Tahoma" w:hAnsi="Tahoma" w:cs="Tahoma"/>
        </w:rPr>
        <w:t xml:space="preserve">Un dépassement de 131.25 sera </w:t>
      </w:r>
      <w:r w:rsidR="00162AB7">
        <w:rPr>
          <w:rFonts w:ascii="Tahoma" w:hAnsi="Tahoma" w:cs="Tahoma"/>
        </w:rPr>
        <w:t>nécessaire</w:t>
      </w:r>
      <w:r w:rsidR="009973D9">
        <w:rPr>
          <w:rFonts w:ascii="Tahoma" w:hAnsi="Tahoma" w:cs="Tahoma"/>
        </w:rPr>
        <w:t xml:space="preserve"> pour sortir le marché de cet environnement.</w:t>
      </w:r>
    </w:p>
    <w:p w14:paraId="074188CC" w14:textId="4707319B" w:rsidR="009973D9" w:rsidRDefault="009973D9" w:rsidP="00B41C02">
      <w:pPr>
        <w:jc w:val="both"/>
        <w:rPr>
          <w:rFonts w:ascii="Tahoma" w:hAnsi="Tahoma" w:cs="Tahoma"/>
        </w:rPr>
      </w:pPr>
      <w:r>
        <w:rPr>
          <w:rFonts w:ascii="Tahoma" w:hAnsi="Tahoma" w:cs="Tahoma"/>
        </w:rPr>
        <w:t xml:space="preserve">Après avoir testé avec </w:t>
      </w:r>
      <w:r w:rsidR="00162AB7">
        <w:rPr>
          <w:rFonts w:ascii="Tahoma" w:hAnsi="Tahoma" w:cs="Tahoma"/>
        </w:rPr>
        <w:t>succès</w:t>
      </w:r>
      <w:r>
        <w:rPr>
          <w:rFonts w:ascii="Tahoma" w:hAnsi="Tahoma" w:cs="Tahoma"/>
        </w:rPr>
        <w:t xml:space="preserve"> le support de 126.72, les cours sont </w:t>
      </w:r>
      <w:r w:rsidR="00162AB7">
        <w:rPr>
          <w:rFonts w:ascii="Tahoma" w:hAnsi="Tahoma" w:cs="Tahoma"/>
        </w:rPr>
        <w:t>repartis</w:t>
      </w:r>
      <w:r>
        <w:rPr>
          <w:rFonts w:ascii="Tahoma" w:hAnsi="Tahoma" w:cs="Tahoma"/>
        </w:rPr>
        <w:t xml:space="preserve"> à la hausse sans trop de conviction.</w:t>
      </w:r>
    </w:p>
    <w:p w14:paraId="6A8BEADC" w14:textId="2D68C062" w:rsidR="009973D9" w:rsidRDefault="00A5386B" w:rsidP="00B41C02">
      <w:pPr>
        <w:jc w:val="both"/>
        <w:rPr>
          <w:rFonts w:ascii="Tahoma" w:hAnsi="Tahoma" w:cs="Tahoma"/>
        </w:rPr>
      </w:pPr>
      <w:r>
        <w:rPr>
          <w:rFonts w:ascii="Tahoma" w:hAnsi="Tahoma" w:cs="Tahoma"/>
        </w:rPr>
        <w:t>La dernière chandelle s’inscrit dans ce contexte mais</w:t>
      </w:r>
      <w:r w:rsidR="00252A40">
        <w:rPr>
          <w:rFonts w:ascii="Tahoma" w:hAnsi="Tahoma" w:cs="Tahoma"/>
        </w:rPr>
        <w:t xml:space="preserve"> de par sa taille</w:t>
      </w:r>
      <w:r w:rsidR="00BE5EDF">
        <w:rPr>
          <w:rFonts w:ascii="Tahoma" w:hAnsi="Tahoma" w:cs="Tahoma"/>
        </w:rPr>
        <w:t xml:space="preserve"> et sa couleur</w:t>
      </w:r>
      <w:r w:rsidR="00252A40">
        <w:rPr>
          <w:rFonts w:ascii="Tahoma" w:hAnsi="Tahoma" w:cs="Tahoma"/>
        </w:rPr>
        <w:t>,</w:t>
      </w:r>
      <w:r w:rsidR="00BE5EDF">
        <w:rPr>
          <w:rFonts w:ascii="Tahoma" w:hAnsi="Tahoma" w:cs="Tahoma"/>
        </w:rPr>
        <w:t xml:space="preserve"> relativement plus importante, </w:t>
      </w:r>
      <w:r w:rsidR="00252A40">
        <w:rPr>
          <w:rFonts w:ascii="Tahoma" w:hAnsi="Tahoma" w:cs="Tahoma"/>
        </w:rPr>
        <w:t>elle</w:t>
      </w:r>
      <w:r>
        <w:rPr>
          <w:rFonts w:ascii="Tahoma" w:hAnsi="Tahoma" w:cs="Tahoma"/>
        </w:rPr>
        <w:t xml:space="preserve"> donne un </w:t>
      </w:r>
      <w:r w:rsidR="00162AB7">
        <w:rPr>
          <w:rFonts w:ascii="Tahoma" w:hAnsi="Tahoma" w:cs="Tahoma"/>
        </w:rPr>
        <w:t>léger</w:t>
      </w:r>
      <w:r>
        <w:rPr>
          <w:rFonts w:ascii="Tahoma" w:hAnsi="Tahoma" w:cs="Tahoma"/>
        </w:rPr>
        <w:t xml:space="preserve"> avantage aux acheteurs.</w:t>
      </w:r>
    </w:p>
    <w:p w14:paraId="79E1473D" w14:textId="6197D442" w:rsidR="004320B3" w:rsidRDefault="00FC3786" w:rsidP="00B41C02">
      <w:pPr>
        <w:jc w:val="both"/>
        <w:rPr>
          <w:rFonts w:ascii="Tahoma" w:hAnsi="Tahoma" w:cs="Tahoma"/>
        </w:rPr>
      </w:pPr>
      <w:r>
        <w:rPr>
          <w:rFonts w:ascii="Tahoma" w:hAnsi="Tahoma" w:cs="Tahoma"/>
        </w:rPr>
        <w:t xml:space="preserve">Le </w:t>
      </w:r>
      <w:r w:rsidR="00162AB7">
        <w:rPr>
          <w:rFonts w:ascii="Tahoma" w:hAnsi="Tahoma" w:cs="Tahoma"/>
        </w:rPr>
        <w:t>caractère</w:t>
      </w:r>
      <w:r>
        <w:rPr>
          <w:rFonts w:ascii="Tahoma" w:hAnsi="Tahoma" w:cs="Tahoma"/>
        </w:rPr>
        <w:t xml:space="preserve"> sur vendu de l’indicateur technique et </w:t>
      </w:r>
      <w:r w:rsidR="004320B3">
        <w:rPr>
          <w:rFonts w:ascii="Tahoma" w:hAnsi="Tahoma" w:cs="Tahoma"/>
        </w:rPr>
        <w:t xml:space="preserve">le contexte </w:t>
      </w:r>
      <w:r>
        <w:rPr>
          <w:rFonts w:ascii="Tahoma" w:hAnsi="Tahoma" w:cs="Tahoma"/>
        </w:rPr>
        <w:t xml:space="preserve">positif du contrat </w:t>
      </w:r>
      <w:r w:rsidR="00162AB7">
        <w:rPr>
          <w:rFonts w:ascii="Tahoma" w:hAnsi="Tahoma" w:cs="Tahoma"/>
        </w:rPr>
        <w:t>au-dessus</w:t>
      </w:r>
      <w:r w:rsidR="004320B3">
        <w:rPr>
          <w:rFonts w:ascii="Tahoma" w:hAnsi="Tahoma" w:cs="Tahoma"/>
        </w:rPr>
        <w:t xml:space="preserve"> de 126.72 favorise</w:t>
      </w:r>
      <w:r>
        <w:rPr>
          <w:rFonts w:ascii="Tahoma" w:hAnsi="Tahoma" w:cs="Tahoma"/>
        </w:rPr>
        <w:t>nt</w:t>
      </w:r>
      <w:r w:rsidR="004320B3">
        <w:rPr>
          <w:rFonts w:ascii="Tahoma" w:hAnsi="Tahoma" w:cs="Tahoma"/>
        </w:rPr>
        <w:t xml:space="preserve"> la hausse du contrat</w:t>
      </w:r>
      <w:r>
        <w:rPr>
          <w:rFonts w:ascii="Tahoma" w:hAnsi="Tahoma" w:cs="Tahoma"/>
        </w:rPr>
        <w:t>. Le plat de SSB de 130.89 servira comme par le passé de zone neutre et de résistance.</w:t>
      </w:r>
    </w:p>
    <w:p w14:paraId="5CA887D3" w14:textId="77777777" w:rsidR="00AE73E4" w:rsidRDefault="00AE73E4" w:rsidP="00B41C02">
      <w:pPr>
        <w:jc w:val="both"/>
        <w:rPr>
          <w:rFonts w:ascii="Tahoma" w:hAnsi="Tahoma" w:cs="Tahoma"/>
        </w:rPr>
      </w:pPr>
    </w:p>
    <w:p w14:paraId="374D1F17" w14:textId="24AE7426" w:rsidR="00583BC8" w:rsidRDefault="00583BC8" w:rsidP="00B41C02">
      <w:pPr>
        <w:jc w:val="both"/>
        <w:rPr>
          <w:rFonts w:ascii="Tahoma" w:hAnsi="Tahoma" w:cs="Tahoma"/>
        </w:rPr>
      </w:pPr>
    </w:p>
    <w:p w14:paraId="4698CF8D" w14:textId="77777777" w:rsidR="00BE5EDF" w:rsidRDefault="00BE5EDF"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6BBD55EE" w:rsidR="00583BC8" w:rsidRDefault="00C318B1" w:rsidP="00B41C02">
      <w:pPr>
        <w:jc w:val="both"/>
        <w:rPr>
          <w:rFonts w:ascii="Tahoma" w:hAnsi="Tahoma" w:cs="Tahoma"/>
        </w:rPr>
      </w:pPr>
      <w:r>
        <w:rPr>
          <w:noProof/>
        </w:rPr>
        <w:drawing>
          <wp:inline distT="0" distB="0" distL="0" distR="0" wp14:anchorId="3F0D2871" wp14:editId="4E80D1F3">
            <wp:extent cx="5760720" cy="4320540"/>
            <wp:effectExtent l="0" t="0" r="0" b="3810"/>
            <wp:docPr id="127776784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3445CF32" w14:textId="77777777" w:rsidR="00116047" w:rsidRDefault="00116047" w:rsidP="00041E45">
      <w:pPr>
        <w:jc w:val="both"/>
        <w:rPr>
          <w:rFonts w:ascii="Tahoma" w:hAnsi="Tahoma" w:cs="Tahoma"/>
        </w:rPr>
      </w:pPr>
      <w:r>
        <w:rPr>
          <w:rFonts w:ascii="Tahoma" w:hAnsi="Tahoma" w:cs="Tahoma"/>
        </w:rPr>
        <w:t xml:space="preserve">Le rebond des prix sur le support de 126.72 est positif et confirme l’importance de ce point. </w:t>
      </w:r>
    </w:p>
    <w:p w14:paraId="169C2EF7" w14:textId="6E302DDB" w:rsidR="00116047" w:rsidRDefault="00116047" w:rsidP="00041E45">
      <w:pPr>
        <w:jc w:val="both"/>
        <w:rPr>
          <w:rFonts w:ascii="Tahoma" w:hAnsi="Tahoma" w:cs="Tahoma"/>
        </w:rPr>
      </w:pPr>
      <w:r>
        <w:rPr>
          <w:rFonts w:ascii="Tahoma" w:hAnsi="Tahoma" w:cs="Tahoma"/>
        </w:rPr>
        <w:t>L</w:t>
      </w:r>
      <w:r w:rsidR="002D52BB">
        <w:rPr>
          <w:rFonts w:ascii="Tahoma" w:hAnsi="Tahoma" w:cs="Tahoma"/>
        </w:rPr>
        <w:t>a</w:t>
      </w:r>
      <w:r>
        <w:rPr>
          <w:rFonts w:ascii="Tahoma" w:hAnsi="Tahoma" w:cs="Tahoma"/>
        </w:rPr>
        <w:t xml:space="preserve"> structure de retournement </w:t>
      </w:r>
      <w:r w:rsidR="002D52BB">
        <w:rPr>
          <w:rFonts w:ascii="Tahoma" w:hAnsi="Tahoma" w:cs="Tahoma"/>
        </w:rPr>
        <w:t xml:space="preserve">haussière </w:t>
      </w:r>
      <w:r>
        <w:rPr>
          <w:rFonts w:ascii="Tahoma" w:hAnsi="Tahoma" w:cs="Tahoma"/>
        </w:rPr>
        <w:t>en étoile du matin a été renforcé</w:t>
      </w:r>
      <w:r w:rsidR="002D52BB">
        <w:rPr>
          <w:rFonts w:ascii="Tahoma" w:hAnsi="Tahoma" w:cs="Tahoma"/>
        </w:rPr>
        <w:t>e</w:t>
      </w:r>
      <w:r>
        <w:rPr>
          <w:rFonts w:ascii="Tahoma" w:hAnsi="Tahoma" w:cs="Tahoma"/>
        </w:rPr>
        <w:t xml:space="preserve"> par ce support majeur.</w:t>
      </w:r>
    </w:p>
    <w:p w14:paraId="67B8B186" w14:textId="27377534" w:rsidR="00467005" w:rsidRDefault="00116047" w:rsidP="00041E45">
      <w:pPr>
        <w:jc w:val="both"/>
        <w:rPr>
          <w:rFonts w:ascii="Tahoma" w:hAnsi="Tahoma" w:cs="Tahoma"/>
        </w:rPr>
      </w:pPr>
      <w:r>
        <w:rPr>
          <w:rFonts w:ascii="Tahoma" w:hAnsi="Tahoma" w:cs="Tahoma"/>
        </w:rPr>
        <w:t>La hausse s’est ainsi poursuivie jusqu’à un haut de 128.24</w:t>
      </w:r>
      <w:r w:rsidR="00472D1B">
        <w:rPr>
          <w:rFonts w:ascii="Tahoma" w:hAnsi="Tahoma" w:cs="Tahoma"/>
        </w:rPr>
        <w:t>, matérialisé par un plat de KS</w:t>
      </w:r>
      <w:r w:rsidR="002D52BB">
        <w:rPr>
          <w:rFonts w:ascii="Tahoma" w:hAnsi="Tahoma" w:cs="Tahoma"/>
        </w:rPr>
        <w:t xml:space="preserve"> passé</w:t>
      </w:r>
      <w:r w:rsidR="00472D1B">
        <w:rPr>
          <w:rFonts w:ascii="Tahoma" w:hAnsi="Tahoma" w:cs="Tahoma"/>
        </w:rPr>
        <w:t>.</w:t>
      </w:r>
      <w:r>
        <w:rPr>
          <w:rFonts w:ascii="Tahoma" w:hAnsi="Tahoma" w:cs="Tahoma"/>
        </w:rPr>
        <w:t xml:space="preserve"> Depuis</w:t>
      </w:r>
      <w:r w:rsidR="002D52BB">
        <w:rPr>
          <w:rFonts w:ascii="Tahoma" w:hAnsi="Tahoma" w:cs="Tahoma"/>
        </w:rPr>
        <w:t>,</w:t>
      </w:r>
      <w:r>
        <w:rPr>
          <w:rFonts w:ascii="Tahoma" w:hAnsi="Tahoma" w:cs="Tahoma"/>
        </w:rPr>
        <w:t xml:space="preserve"> les dernières chandelles sans personnalité nous montre</w:t>
      </w:r>
      <w:r w:rsidR="002D52BB">
        <w:rPr>
          <w:rFonts w:ascii="Tahoma" w:hAnsi="Tahoma" w:cs="Tahoma"/>
        </w:rPr>
        <w:t>nt</w:t>
      </w:r>
      <w:r>
        <w:rPr>
          <w:rFonts w:ascii="Tahoma" w:hAnsi="Tahoma" w:cs="Tahoma"/>
        </w:rPr>
        <w:t xml:space="preserve"> que la hausse </w:t>
      </w:r>
      <w:r w:rsidR="00472D1B">
        <w:rPr>
          <w:rFonts w:ascii="Tahoma" w:hAnsi="Tahoma" w:cs="Tahoma"/>
        </w:rPr>
        <w:t>ne s’est pas poursuivie</w:t>
      </w:r>
      <w:r>
        <w:rPr>
          <w:rFonts w:ascii="Tahoma" w:hAnsi="Tahoma" w:cs="Tahoma"/>
        </w:rPr>
        <w:t xml:space="preserve">. </w:t>
      </w:r>
      <w:r w:rsidR="00472D1B">
        <w:rPr>
          <w:rFonts w:ascii="Tahoma" w:hAnsi="Tahoma" w:cs="Tahoma"/>
        </w:rPr>
        <w:t xml:space="preserve">Pour autant, il n’y a pas de remise en question de la dernière jambe de hausse. Un premier support </w:t>
      </w:r>
      <w:r w:rsidR="00162AB7">
        <w:rPr>
          <w:rFonts w:ascii="Tahoma" w:hAnsi="Tahoma" w:cs="Tahoma"/>
        </w:rPr>
        <w:t>intermédiaire</w:t>
      </w:r>
      <w:r w:rsidR="00472D1B">
        <w:rPr>
          <w:rFonts w:ascii="Tahoma" w:hAnsi="Tahoma" w:cs="Tahoma"/>
        </w:rPr>
        <w:t xml:space="preserve"> se situe </w:t>
      </w:r>
      <w:r w:rsidR="002D52BB">
        <w:rPr>
          <w:rFonts w:ascii="Tahoma" w:hAnsi="Tahoma" w:cs="Tahoma"/>
        </w:rPr>
        <w:t xml:space="preserve">aujourd’hui </w:t>
      </w:r>
      <w:r w:rsidR="00472D1B">
        <w:rPr>
          <w:rFonts w:ascii="Tahoma" w:hAnsi="Tahoma" w:cs="Tahoma"/>
        </w:rPr>
        <w:t xml:space="preserve">sur 127.70 et un maintien du marché </w:t>
      </w:r>
      <w:r w:rsidR="00162AB7">
        <w:rPr>
          <w:rFonts w:ascii="Tahoma" w:hAnsi="Tahoma" w:cs="Tahoma"/>
        </w:rPr>
        <w:t>au-dessus</w:t>
      </w:r>
      <w:r w:rsidR="00472D1B">
        <w:rPr>
          <w:rFonts w:ascii="Tahoma" w:hAnsi="Tahoma" w:cs="Tahoma"/>
        </w:rPr>
        <w:t xml:space="preserve"> de ce point permettra d’envisager une reprise du mouvement haussier.</w:t>
      </w:r>
    </w:p>
    <w:p w14:paraId="55CB160D" w14:textId="2F68B703" w:rsidR="00175FA8" w:rsidRDefault="00175FA8" w:rsidP="00041E45">
      <w:pPr>
        <w:jc w:val="both"/>
        <w:rPr>
          <w:rFonts w:ascii="Tahoma" w:hAnsi="Tahoma" w:cs="Tahoma"/>
        </w:rPr>
      </w:pPr>
      <w:r>
        <w:rPr>
          <w:rFonts w:ascii="Tahoma" w:hAnsi="Tahoma" w:cs="Tahoma"/>
        </w:rPr>
        <w:t xml:space="preserve">Graphiquement, le contrat a validé la sortie haussière d’un double creux </w:t>
      </w:r>
      <w:r w:rsidR="00162AB7">
        <w:rPr>
          <w:rFonts w:ascii="Tahoma" w:hAnsi="Tahoma" w:cs="Tahoma"/>
        </w:rPr>
        <w:t>irrégulier</w:t>
      </w:r>
      <w:r>
        <w:rPr>
          <w:rFonts w:ascii="Tahoma" w:hAnsi="Tahoma" w:cs="Tahoma"/>
        </w:rPr>
        <w:t>. En dépassement de la ligne de cou de 127.80, l’objectif théorique se situe sur 128.60.</w:t>
      </w:r>
    </w:p>
    <w:p w14:paraId="521A3255" w14:textId="5A62297C" w:rsidR="00175FA8" w:rsidRDefault="00175FA8" w:rsidP="00041E45">
      <w:pPr>
        <w:jc w:val="both"/>
        <w:rPr>
          <w:rFonts w:ascii="Tahoma" w:hAnsi="Tahoma" w:cs="Tahoma"/>
        </w:rPr>
      </w:pPr>
      <w:r>
        <w:rPr>
          <w:rFonts w:ascii="Tahoma" w:hAnsi="Tahoma" w:cs="Tahoma"/>
        </w:rPr>
        <w:t xml:space="preserve">La dynamique de mouvement repartira à la hausse si les prix dépassement </w:t>
      </w:r>
      <w:r w:rsidR="002D52BB">
        <w:rPr>
          <w:rFonts w:ascii="Tahoma" w:hAnsi="Tahoma" w:cs="Tahoma"/>
        </w:rPr>
        <w:t xml:space="preserve">le </w:t>
      </w:r>
      <w:r>
        <w:rPr>
          <w:rFonts w:ascii="Tahoma" w:hAnsi="Tahoma" w:cs="Tahoma"/>
        </w:rPr>
        <w:t>haut récent de 128.24.</w:t>
      </w:r>
      <w:r w:rsidR="00C87EB9">
        <w:rPr>
          <w:rFonts w:ascii="Tahoma" w:hAnsi="Tahoma" w:cs="Tahoma"/>
        </w:rPr>
        <w:t xml:space="preserve"> Ce dépassement permettra à la TS de poursuivre sa progression. </w:t>
      </w:r>
      <w:r w:rsidR="008A1BD4">
        <w:rPr>
          <w:rFonts w:ascii="Tahoma" w:hAnsi="Tahoma" w:cs="Tahoma"/>
        </w:rPr>
        <w:t xml:space="preserve">Dans le cas contraire. Cette courbe s’aplatira pour indiquer que les prix </w:t>
      </w:r>
      <w:r w:rsidR="00162AB7">
        <w:rPr>
          <w:rFonts w:ascii="Tahoma" w:hAnsi="Tahoma" w:cs="Tahoma"/>
        </w:rPr>
        <w:t>consolident</w:t>
      </w:r>
      <w:r w:rsidR="00D60D81">
        <w:rPr>
          <w:rFonts w:ascii="Tahoma" w:hAnsi="Tahoma" w:cs="Tahoma"/>
        </w:rPr>
        <w:t xml:space="preserve"> sur un horizon de très court terme.</w:t>
      </w:r>
    </w:p>
    <w:p w14:paraId="10BB9766" w14:textId="77777777" w:rsidR="00723F77" w:rsidRDefault="00723F77" w:rsidP="00041E45">
      <w:pPr>
        <w:jc w:val="both"/>
        <w:rPr>
          <w:rFonts w:ascii="Tahoma" w:hAnsi="Tahoma" w:cs="Tahoma"/>
        </w:rPr>
      </w:pPr>
    </w:p>
    <w:p w14:paraId="258EB8FF" w14:textId="327DFFC6"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BD6D55">
        <w:rPr>
          <w:rFonts w:ascii="Tahoma" w:hAnsi="Tahoma" w:cs="Tahoma"/>
        </w:rPr>
        <w:t xml:space="preserve"> Marché positif </w:t>
      </w:r>
      <w:r w:rsidR="00162AB7">
        <w:rPr>
          <w:rFonts w:ascii="Tahoma" w:hAnsi="Tahoma" w:cs="Tahoma"/>
        </w:rPr>
        <w:t>au-dessus</w:t>
      </w:r>
      <w:r w:rsidR="00BD6D55">
        <w:rPr>
          <w:rFonts w:ascii="Tahoma" w:hAnsi="Tahoma" w:cs="Tahoma"/>
        </w:rPr>
        <w:t xml:space="preserve"> de 126.72. La hausse qui a suivi </w:t>
      </w:r>
      <w:r w:rsidR="002D52BB">
        <w:rPr>
          <w:rFonts w:ascii="Tahoma" w:hAnsi="Tahoma" w:cs="Tahoma"/>
        </w:rPr>
        <w:t xml:space="preserve">le rebond </w:t>
      </w:r>
      <w:r w:rsidR="00BD6D55">
        <w:rPr>
          <w:rFonts w:ascii="Tahoma" w:hAnsi="Tahoma" w:cs="Tahoma"/>
        </w:rPr>
        <w:t>devra dépasser cette semaine 128.24 pour envisager une reprise de la dynamique haussière. Dans le cas contraire consolidation des prix sur un horizon de très court terme (quelques jours) entre 127.00 et 128.24.</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16047"/>
    <w:rsid w:val="00134AFA"/>
    <w:rsid w:val="00135766"/>
    <w:rsid w:val="0014687D"/>
    <w:rsid w:val="0015581D"/>
    <w:rsid w:val="00162AB7"/>
    <w:rsid w:val="00163C46"/>
    <w:rsid w:val="001705F4"/>
    <w:rsid w:val="00175FA8"/>
    <w:rsid w:val="00190995"/>
    <w:rsid w:val="001A4796"/>
    <w:rsid w:val="001D474B"/>
    <w:rsid w:val="001F650A"/>
    <w:rsid w:val="002003AD"/>
    <w:rsid w:val="002421FE"/>
    <w:rsid w:val="00252A40"/>
    <w:rsid w:val="00262E25"/>
    <w:rsid w:val="00263ED0"/>
    <w:rsid w:val="002A1F8E"/>
    <w:rsid w:val="002B5CB1"/>
    <w:rsid w:val="002C0A31"/>
    <w:rsid w:val="002D52BB"/>
    <w:rsid w:val="002F54B0"/>
    <w:rsid w:val="00303214"/>
    <w:rsid w:val="0030643B"/>
    <w:rsid w:val="00337611"/>
    <w:rsid w:val="00340FD9"/>
    <w:rsid w:val="00352DD9"/>
    <w:rsid w:val="003767E0"/>
    <w:rsid w:val="00397D3D"/>
    <w:rsid w:val="0040171B"/>
    <w:rsid w:val="004320B3"/>
    <w:rsid w:val="00467005"/>
    <w:rsid w:val="00472D1B"/>
    <w:rsid w:val="004837A2"/>
    <w:rsid w:val="004A2D2D"/>
    <w:rsid w:val="004A5154"/>
    <w:rsid w:val="004F48EE"/>
    <w:rsid w:val="00531928"/>
    <w:rsid w:val="005440A4"/>
    <w:rsid w:val="00546A5A"/>
    <w:rsid w:val="00562001"/>
    <w:rsid w:val="00566580"/>
    <w:rsid w:val="00567AF3"/>
    <w:rsid w:val="00583BC8"/>
    <w:rsid w:val="005B68F1"/>
    <w:rsid w:val="00654380"/>
    <w:rsid w:val="00664BE1"/>
    <w:rsid w:val="006B055C"/>
    <w:rsid w:val="006E32BB"/>
    <w:rsid w:val="006E38E0"/>
    <w:rsid w:val="00710599"/>
    <w:rsid w:val="00723F77"/>
    <w:rsid w:val="00744696"/>
    <w:rsid w:val="00763935"/>
    <w:rsid w:val="00772067"/>
    <w:rsid w:val="0077545D"/>
    <w:rsid w:val="007A0A4B"/>
    <w:rsid w:val="007A0E6C"/>
    <w:rsid w:val="007B1237"/>
    <w:rsid w:val="007B661D"/>
    <w:rsid w:val="007D19FF"/>
    <w:rsid w:val="007D2085"/>
    <w:rsid w:val="007D4181"/>
    <w:rsid w:val="0080322E"/>
    <w:rsid w:val="0083454A"/>
    <w:rsid w:val="00837B38"/>
    <w:rsid w:val="00896554"/>
    <w:rsid w:val="008A1BD4"/>
    <w:rsid w:val="008A7407"/>
    <w:rsid w:val="008F10C2"/>
    <w:rsid w:val="00902D2F"/>
    <w:rsid w:val="00961FDF"/>
    <w:rsid w:val="009740FB"/>
    <w:rsid w:val="00983B7D"/>
    <w:rsid w:val="009973D9"/>
    <w:rsid w:val="009A37C2"/>
    <w:rsid w:val="009F3AB8"/>
    <w:rsid w:val="00A11606"/>
    <w:rsid w:val="00A5386B"/>
    <w:rsid w:val="00A6401C"/>
    <w:rsid w:val="00A81AB7"/>
    <w:rsid w:val="00AA522C"/>
    <w:rsid w:val="00AE73E4"/>
    <w:rsid w:val="00AE7F3B"/>
    <w:rsid w:val="00B34260"/>
    <w:rsid w:val="00B41C02"/>
    <w:rsid w:val="00B4335A"/>
    <w:rsid w:val="00B50E38"/>
    <w:rsid w:val="00B554B8"/>
    <w:rsid w:val="00B64EE0"/>
    <w:rsid w:val="00B94D71"/>
    <w:rsid w:val="00BB0E32"/>
    <w:rsid w:val="00BB6D9D"/>
    <w:rsid w:val="00BC77A5"/>
    <w:rsid w:val="00BD3FC1"/>
    <w:rsid w:val="00BD6D55"/>
    <w:rsid w:val="00BE5EDF"/>
    <w:rsid w:val="00C17ED7"/>
    <w:rsid w:val="00C318B1"/>
    <w:rsid w:val="00C41F15"/>
    <w:rsid w:val="00C70171"/>
    <w:rsid w:val="00C70A68"/>
    <w:rsid w:val="00C80C45"/>
    <w:rsid w:val="00C82E98"/>
    <w:rsid w:val="00C87EB9"/>
    <w:rsid w:val="00CB17C9"/>
    <w:rsid w:val="00CC72FF"/>
    <w:rsid w:val="00CC7C21"/>
    <w:rsid w:val="00CE0886"/>
    <w:rsid w:val="00CF2516"/>
    <w:rsid w:val="00CF6D63"/>
    <w:rsid w:val="00D23B28"/>
    <w:rsid w:val="00D46C8D"/>
    <w:rsid w:val="00D60D81"/>
    <w:rsid w:val="00DA1359"/>
    <w:rsid w:val="00DE5444"/>
    <w:rsid w:val="00DF072F"/>
    <w:rsid w:val="00E32014"/>
    <w:rsid w:val="00E3727C"/>
    <w:rsid w:val="00EB58BA"/>
    <w:rsid w:val="00ED3878"/>
    <w:rsid w:val="00EE6B93"/>
    <w:rsid w:val="00F04A6E"/>
    <w:rsid w:val="00F04DEF"/>
    <w:rsid w:val="00F31070"/>
    <w:rsid w:val="00F53F10"/>
    <w:rsid w:val="00F636F8"/>
    <w:rsid w:val="00FA2C8E"/>
    <w:rsid w:val="00FC1860"/>
    <w:rsid w:val="00FC3786"/>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3</Pages>
  <Words>489</Words>
  <Characters>2691</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117</cp:revision>
  <dcterms:created xsi:type="dcterms:W3CDTF">2021-11-25T09:44:00Z</dcterms:created>
  <dcterms:modified xsi:type="dcterms:W3CDTF">2026-01-10T15:43:00Z</dcterms:modified>
</cp:coreProperties>
</file>