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691F2EB0" w:rsidR="00902D2F" w:rsidRDefault="00151A47" w:rsidP="00B41C02">
      <w:pPr>
        <w:jc w:val="both"/>
        <w:rPr>
          <w:rFonts w:ascii="Tahoma" w:hAnsi="Tahoma" w:cs="Tahoma"/>
        </w:rPr>
      </w:pPr>
      <w:r>
        <w:rPr>
          <w:noProof/>
        </w:rPr>
        <w:drawing>
          <wp:inline distT="0" distB="0" distL="0" distR="0" wp14:anchorId="4E6EA1B8" wp14:editId="5F202694">
            <wp:extent cx="5760720" cy="4320540"/>
            <wp:effectExtent l="0" t="0" r="0" b="3810"/>
            <wp:docPr id="9198003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6043F2CE" w:rsidR="00DF072F" w:rsidRDefault="00BB6D9D" w:rsidP="00B41C02">
      <w:pPr>
        <w:jc w:val="both"/>
        <w:rPr>
          <w:rFonts w:ascii="Tahoma" w:hAnsi="Tahoma" w:cs="Tahoma"/>
        </w:rPr>
      </w:pPr>
      <w:r>
        <w:rPr>
          <w:rFonts w:ascii="Tahoma" w:hAnsi="Tahoma" w:cs="Tahoma"/>
        </w:rPr>
        <w:t xml:space="preserve"> </w:t>
      </w:r>
      <w:r w:rsidR="002E74A0">
        <w:rPr>
          <w:rFonts w:ascii="Tahoma" w:hAnsi="Tahoma" w:cs="Tahoma"/>
        </w:rPr>
        <w:t xml:space="preserve">Pas </w:t>
      </w:r>
      <w:r w:rsidR="0004544D">
        <w:rPr>
          <w:rFonts w:ascii="Tahoma" w:hAnsi="Tahoma" w:cs="Tahoma"/>
        </w:rPr>
        <w:t>de modification</w:t>
      </w:r>
      <w:r w:rsidR="002E74A0">
        <w:rPr>
          <w:rFonts w:ascii="Tahoma" w:hAnsi="Tahoma" w:cs="Tahoma"/>
        </w:rPr>
        <w:t xml:space="preserve"> fondamentale sur le moyen terme, où le marché poursuit son évolution au sein d’une dérive latérale comprise entre 126.72 et 136.30.</w:t>
      </w:r>
    </w:p>
    <w:p w14:paraId="3527A5AD" w14:textId="65A2CA66" w:rsidR="002E74A0" w:rsidRDefault="002E74A0" w:rsidP="00B41C02">
      <w:pPr>
        <w:jc w:val="both"/>
        <w:rPr>
          <w:rFonts w:ascii="Tahoma" w:hAnsi="Tahoma" w:cs="Tahoma"/>
        </w:rPr>
      </w:pPr>
      <w:r>
        <w:rPr>
          <w:rFonts w:ascii="Tahoma" w:hAnsi="Tahoma" w:cs="Tahoma"/>
        </w:rPr>
        <w:t xml:space="preserve">Depuis le test du support, le contrat Bund évolue à la hausse </w:t>
      </w:r>
      <w:r w:rsidR="00AF39A6">
        <w:rPr>
          <w:rFonts w:ascii="Tahoma" w:hAnsi="Tahoma" w:cs="Tahoma"/>
        </w:rPr>
        <w:t>au-dessus</w:t>
      </w:r>
      <w:r>
        <w:rPr>
          <w:rFonts w:ascii="Tahoma" w:hAnsi="Tahoma" w:cs="Tahoma"/>
        </w:rPr>
        <w:t xml:space="preserve"> d’un trend dont le point bas sera pour la semaine à venir sur 127.60. Il représentera un support intermédiaire avant un éventuel retour des cours sur la borne basse de 126.72.</w:t>
      </w:r>
    </w:p>
    <w:p w14:paraId="1D533C9A" w14:textId="7368726D" w:rsidR="002E74A0" w:rsidRDefault="002E74A0" w:rsidP="00B41C02">
      <w:pPr>
        <w:jc w:val="both"/>
        <w:rPr>
          <w:rFonts w:ascii="Tahoma" w:hAnsi="Tahoma" w:cs="Tahoma"/>
        </w:rPr>
      </w:pPr>
      <w:r>
        <w:rPr>
          <w:rFonts w:ascii="Tahoma" w:hAnsi="Tahoma" w:cs="Tahoma"/>
        </w:rPr>
        <w:t xml:space="preserve">Coté Ichimoku, rien de particulier tant que le marché se maintiendra sous le plat de SSB de 130.89. Ce dernier peut être considéré comme le point d’équilibre de la dérive latérale. Ainsi </w:t>
      </w:r>
      <w:r w:rsidR="00392F2F">
        <w:rPr>
          <w:rFonts w:ascii="Tahoma" w:hAnsi="Tahoma" w:cs="Tahoma"/>
        </w:rPr>
        <w:t>l</w:t>
      </w:r>
      <w:r>
        <w:rPr>
          <w:rFonts w:ascii="Tahoma" w:hAnsi="Tahoma" w:cs="Tahoma"/>
        </w:rPr>
        <w:t xml:space="preserve">a position des prix par rapport à 130.89 donne un léger avantage à la baisse du contrat </w:t>
      </w:r>
      <w:r w:rsidR="00392F2F">
        <w:rPr>
          <w:rFonts w:ascii="Tahoma" w:hAnsi="Tahoma" w:cs="Tahoma"/>
        </w:rPr>
        <w:t>qui</w:t>
      </w:r>
      <w:r>
        <w:rPr>
          <w:rFonts w:ascii="Tahoma" w:hAnsi="Tahoma" w:cs="Tahoma"/>
        </w:rPr>
        <w:t xml:space="preserve"> favorise les tests de la borne basse de la consolidation.</w:t>
      </w:r>
    </w:p>
    <w:p w14:paraId="7DAAF909" w14:textId="43B4049F" w:rsidR="002E74A0" w:rsidRDefault="002E74A0" w:rsidP="00B41C02">
      <w:pPr>
        <w:jc w:val="both"/>
        <w:rPr>
          <w:rFonts w:ascii="Tahoma" w:hAnsi="Tahoma" w:cs="Tahoma"/>
        </w:rPr>
      </w:pPr>
      <w:r>
        <w:rPr>
          <w:rFonts w:ascii="Tahoma" w:hAnsi="Tahoma" w:cs="Tahoma"/>
        </w:rPr>
        <w:t xml:space="preserve">Coté Chandeliers, je continue </w:t>
      </w:r>
      <w:r w:rsidR="004C2BBE">
        <w:rPr>
          <w:rFonts w:ascii="Tahoma" w:hAnsi="Tahoma" w:cs="Tahoma"/>
        </w:rPr>
        <w:t xml:space="preserve">de soutenir l’idée que la longue chandelle noire de la semaine du </w:t>
      </w:r>
      <w:r w:rsidR="00445F5D">
        <w:rPr>
          <w:rFonts w:ascii="Tahoma" w:hAnsi="Tahoma" w:cs="Tahoma"/>
        </w:rPr>
        <w:t xml:space="preserve">03 mars </w:t>
      </w:r>
      <w:r w:rsidR="00986E85">
        <w:rPr>
          <w:rFonts w:ascii="Tahoma" w:hAnsi="Tahoma" w:cs="Tahoma"/>
        </w:rPr>
        <w:t>pèse négativement sur l’évolution du contrat. Sa remise en question passera par un dépassement de 131.25.</w:t>
      </w:r>
    </w:p>
    <w:p w14:paraId="374D1F17" w14:textId="1954E398" w:rsidR="00583BC8" w:rsidRDefault="00986E85" w:rsidP="00B41C02">
      <w:pPr>
        <w:jc w:val="both"/>
        <w:rPr>
          <w:rFonts w:ascii="Tahoma" w:hAnsi="Tahoma" w:cs="Tahoma"/>
        </w:rPr>
      </w:pPr>
      <w:r>
        <w:rPr>
          <w:rFonts w:ascii="Tahoma" w:hAnsi="Tahoma" w:cs="Tahoma"/>
        </w:rPr>
        <w:t xml:space="preserve">La dernière bougie hebdomadaire est de type doji. Sa structure directionnelle ne remet pas en question le trend haussier </w:t>
      </w:r>
      <w:r w:rsidR="00AF39A6">
        <w:rPr>
          <w:rFonts w:ascii="Tahoma" w:hAnsi="Tahoma" w:cs="Tahoma"/>
        </w:rPr>
        <w:t>au-dessus</w:t>
      </w:r>
      <w:r>
        <w:rPr>
          <w:rFonts w:ascii="Tahoma" w:hAnsi="Tahoma" w:cs="Tahoma"/>
        </w:rPr>
        <w:t xml:space="preserve"> duquel elle évolue.</w:t>
      </w:r>
    </w:p>
    <w:p w14:paraId="29E7EE5E" w14:textId="77777777" w:rsidR="00911AAA" w:rsidRDefault="00911AAA"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710BA38C" w14:textId="0452EC87" w:rsidR="00163C46" w:rsidRDefault="007C19E2" w:rsidP="00263ED0">
      <w:pPr>
        <w:jc w:val="both"/>
        <w:rPr>
          <w:rFonts w:ascii="Tahoma" w:hAnsi="Tahoma" w:cs="Tahoma"/>
        </w:rPr>
      </w:pPr>
      <w:r>
        <w:rPr>
          <w:noProof/>
        </w:rPr>
        <w:drawing>
          <wp:inline distT="0" distB="0" distL="0" distR="0" wp14:anchorId="113AFDF9" wp14:editId="61B879C8">
            <wp:extent cx="5760720" cy="4320540"/>
            <wp:effectExtent l="0" t="0" r="0" b="3810"/>
            <wp:docPr id="13397484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10BB9766" w14:textId="5C7FF9D6" w:rsidR="00723F77" w:rsidRDefault="00071F75" w:rsidP="00041E45">
      <w:pPr>
        <w:jc w:val="both"/>
        <w:rPr>
          <w:rFonts w:ascii="Tahoma" w:hAnsi="Tahoma" w:cs="Tahoma"/>
        </w:rPr>
      </w:pPr>
      <w:r>
        <w:rPr>
          <w:rFonts w:ascii="Tahoma" w:hAnsi="Tahoma" w:cs="Tahoma"/>
        </w:rPr>
        <w:t xml:space="preserve">Les prix sont actuellement dans leur nuage. Cela signifie qu’ils sont dans leur zone d’équilibre. </w:t>
      </w:r>
      <w:r w:rsidR="00AF39A6">
        <w:rPr>
          <w:rFonts w:ascii="Tahoma" w:hAnsi="Tahoma" w:cs="Tahoma"/>
        </w:rPr>
        <w:t>Il sera</w:t>
      </w:r>
      <w:r>
        <w:rPr>
          <w:rFonts w:ascii="Tahoma" w:hAnsi="Tahoma" w:cs="Tahoma"/>
        </w:rPr>
        <w:t xml:space="preserve"> </w:t>
      </w:r>
      <w:r w:rsidR="00AF39A6">
        <w:rPr>
          <w:rFonts w:ascii="Tahoma" w:hAnsi="Tahoma" w:cs="Tahoma"/>
        </w:rPr>
        <w:t>nécessaire</w:t>
      </w:r>
      <w:r>
        <w:rPr>
          <w:rFonts w:ascii="Tahoma" w:hAnsi="Tahoma" w:cs="Tahoma"/>
        </w:rPr>
        <w:t xml:space="preserve"> d’attendre </w:t>
      </w:r>
      <w:r w:rsidR="00911AAA">
        <w:rPr>
          <w:rFonts w:ascii="Tahoma" w:hAnsi="Tahoma" w:cs="Tahoma"/>
        </w:rPr>
        <w:t>une</w:t>
      </w:r>
      <w:r>
        <w:rPr>
          <w:rFonts w:ascii="Tahoma" w:hAnsi="Tahoma" w:cs="Tahoma"/>
        </w:rPr>
        <w:t xml:space="preserve"> sortie par rupture de la SSA ou de la SSB pour redonner une indication tendancielle au marché.</w:t>
      </w:r>
    </w:p>
    <w:p w14:paraId="1075BD91" w14:textId="3613E6D8" w:rsidR="00071F75" w:rsidRDefault="00071F75" w:rsidP="00041E45">
      <w:pPr>
        <w:jc w:val="both"/>
        <w:rPr>
          <w:rFonts w:ascii="Tahoma" w:hAnsi="Tahoma" w:cs="Tahoma"/>
        </w:rPr>
      </w:pPr>
      <w:r>
        <w:rPr>
          <w:rFonts w:ascii="Tahoma" w:hAnsi="Tahoma" w:cs="Tahoma"/>
        </w:rPr>
        <w:t>Le point positif de la semaine est le dépassement de la KS par la LS. La KS était un obstacle</w:t>
      </w:r>
      <w:r w:rsidR="00911AAA">
        <w:rPr>
          <w:rFonts w:ascii="Tahoma" w:hAnsi="Tahoma" w:cs="Tahoma"/>
        </w:rPr>
        <w:t xml:space="preserve"> pour cette courbe</w:t>
      </w:r>
      <w:r>
        <w:rPr>
          <w:rFonts w:ascii="Tahoma" w:hAnsi="Tahoma" w:cs="Tahoma"/>
        </w:rPr>
        <w:t xml:space="preserve">. Son dépassement </w:t>
      </w:r>
      <w:r w:rsidR="00911AAA">
        <w:rPr>
          <w:rFonts w:ascii="Tahoma" w:hAnsi="Tahoma" w:cs="Tahoma"/>
        </w:rPr>
        <w:t xml:space="preserve">lui </w:t>
      </w:r>
      <w:r>
        <w:rPr>
          <w:rFonts w:ascii="Tahoma" w:hAnsi="Tahoma" w:cs="Tahoma"/>
        </w:rPr>
        <w:t xml:space="preserve">offre un espace sans contrainte jusqu’au nuage, soit </w:t>
      </w:r>
      <w:r w:rsidR="00911AAA">
        <w:rPr>
          <w:rFonts w:ascii="Tahoma" w:hAnsi="Tahoma" w:cs="Tahoma"/>
        </w:rPr>
        <w:t xml:space="preserve">potentiellement </w:t>
      </w:r>
      <w:r>
        <w:rPr>
          <w:rFonts w:ascii="Tahoma" w:hAnsi="Tahoma" w:cs="Tahoma"/>
        </w:rPr>
        <w:t xml:space="preserve">129.30 et 129.50. Mais </w:t>
      </w:r>
      <w:r w:rsidR="00911AAA">
        <w:rPr>
          <w:rFonts w:ascii="Tahoma" w:hAnsi="Tahoma" w:cs="Tahoma"/>
        </w:rPr>
        <w:t xml:space="preserve">pour </w:t>
      </w:r>
      <w:r>
        <w:rPr>
          <w:rFonts w:ascii="Tahoma" w:hAnsi="Tahoma" w:cs="Tahoma"/>
        </w:rPr>
        <w:t xml:space="preserve">envisager cette zone, </w:t>
      </w:r>
      <w:r w:rsidR="00911AAA">
        <w:rPr>
          <w:rFonts w:ascii="Tahoma" w:hAnsi="Tahoma" w:cs="Tahoma"/>
        </w:rPr>
        <w:t>l</w:t>
      </w:r>
      <w:r>
        <w:rPr>
          <w:rFonts w:ascii="Tahoma" w:hAnsi="Tahoma" w:cs="Tahoma"/>
        </w:rPr>
        <w:t>a LS</w:t>
      </w:r>
      <w:r w:rsidR="00911AAA">
        <w:rPr>
          <w:rFonts w:ascii="Tahoma" w:hAnsi="Tahoma" w:cs="Tahoma"/>
        </w:rPr>
        <w:t>,</w:t>
      </w:r>
      <w:r>
        <w:rPr>
          <w:rFonts w:ascii="Tahoma" w:hAnsi="Tahoma" w:cs="Tahoma"/>
        </w:rPr>
        <w:t xml:space="preserve"> donc les </w:t>
      </w:r>
      <w:r w:rsidR="00AF39A6">
        <w:rPr>
          <w:rFonts w:ascii="Tahoma" w:hAnsi="Tahoma" w:cs="Tahoma"/>
        </w:rPr>
        <w:t>clôtures</w:t>
      </w:r>
      <w:r>
        <w:rPr>
          <w:rFonts w:ascii="Tahoma" w:hAnsi="Tahoma" w:cs="Tahoma"/>
        </w:rPr>
        <w:t xml:space="preserve"> journalières</w:t>
      </w:r>
      <w:r w:rsidR="00911AAA">
        <w:rPr>
          <w:rFonts w:ascii="Tahoma" w:hAnsi="Tahoma" w:cs="Tahoma"/>
        </w:rPr>
        <w:t>,</w:t>
      </w:r>
      <w:r>
        <w:rPr>
          <w:rFonts w:ascii="Tahoma" w:hAnsi="Tahoma" w:cs="Tahoma"/>
        </w:rPr>
        <w:t xml:space="preserve"> devront se faire </w:t>
      </w:r>
      <w:r w:rsidR="00AF39A6">
        <w:rPr>
          <w:rFonts w:ascii="Tahoma" w:hAnsi="Tahoma" w:cs="Tahoma"/>
        </w:rPr>
        <w:t>au-dessus</w:t>
      </w:r>
      <w:r>
        <w:rPr>
          <w:rFonts w:ascii="Tahoma" w:hAnsi="Tahoma" w:cs="Tahoma"/>
        </w:rPr>
        <w:t xml:space="preserve"> du plat de KS (de la LS) de 128.13.</w:t>
      </w:r>
    </w:p>
    <w:p w14:paraId="4FF607AB" w14:textId="279630C4" w:rsidR="00D821BF" w:rsidRDefault="00071F75" w:rsidP="00041E45">
      <w:pPr>
        <w:jc w:val="both"/>
        <w:rPr>
          <w:rFonts w:ascii="Tahoma" w:hAnsi="Tahoma" w:cs="Tahoma"/>
        </w:rPr>
      </w:pPr>
      <w:r>
        <w:rPr>
          <w:rFonts w:ascii="Tahoma" w:hAnsi="Tahoma" w:cs="Tahoma"/>
        </w:rPr>
        <w:t xml:space="preserve">Graphiquement, le contrat consolide entre 127.57 et 128.45. Les prix ne sont pas parvenus à dépasser le précédent haut de 128.58. La dernière chandelle qui a testé ce haut de 128.58, dessine une structure de retournement en </w:t>
      </w:r>
      <w:r w:rsidR="002163FA">
        <w:rPr>
          <w:rFonts w:ascii="Tahoma" w:hAnsi="Tahoma" w:cs="Tahoma"/>
        </w:rPr>
        <w:t xml:space="preserve">ligne de </w:t>
      </w:r>
      <w:r w:rsidR="00AF39A6">
        <w:rPr>
          <w:rFonts w:ascii="Tahoma" w:hAnsi="Tahoma" w:cs="Tahoma"/>
        </w:rPr>
        <w:t>contre-attaque</w:t>
      </w:r>
      <w:r w:rsidR="002163FA">
        <w:rPr>
          <w:rFonts w:ascii="Tahoma" w:hAnsi="Tahoma" w:cs="Tahoma"/>
        </w:rPr>
        <w:t>.</w:t>
      </w:r>
      <w:r w:rsidR="00D821BF">
        <w:rPr>
          <w:rFonts w:ascii="Tahoma" w:hAnsi="Tahoma" w:cs="Tahoma"/>
        </w:rPr>
        <w:t xml:space="preserve"> Cela reste une </w:t>
      </w:r>
      <w:r w:rsidR="00AF39A6">
        <w:rPr>
          <w:rFonts w:ascii="Tahoma" w:hAnsi="Tahoma" w:cs="Tahoma"/>
        </w:rPr>
        <w:t>constations</w:t>
      </w:r>
      <w:r w:rsidR="00D821BF">
        <w:rPr>
          <w:rFonts w:ascii="Tahoma" w:hAnsi="Tahoma" w:cs="Tahoma"/>
        </w:rPr>
        <w:t>. Je n’opterai pas pour un retournement des prix tant que la consolidation horizontale 127.57-128.45 restera valide.</w:t>
      </w:r>
    </w:p>
    <w:p w14:paraId="4D436B8B" w14:textId="56AA9563" w:rsidR="001178BF" w:rsidRDefault="001178BF" w:rsidP="00041E45">
      <w:pPr>
        <w:jc w:val="both"/>
        <w:rPr>
          <w:rFonts w:ascii="Tahoma" w:hAnsi="Tahoma" w:cs="Tahoma"/>
        </w:rPr>
      </w:pPr>
      <w:r>
        <w:rPr>
          <w:rFonts w:ascii="Tahoma" w:hAnsi="Tahoma" w:cs="Tahoma"/>
        </w:rPr>
        <w:t xml:space="preserve">Même si la TS est repartie à la hausse, sa dynamique devrait se stabiliser si le contrat ne s’établi pas </w:t>
      </w:r>
      <w:r w:rsidR="00AF39A6">
        <w:rPr>
          <w:rFonts w:ascii="Tahoma" w:hAnsi="Tahoma" w:cs="Tahoma"/>
        </w:rPr>
        <w:t>au-dessus</w:t>
      </w:r>
      <w:r>
        <w:rPr>
          <w:rFonts w:ascii="Tahoma" w:hAnsi="Tahoma" w:cs="Tahoma"/>
        </w:rPr>
        <w:t xml:space="preserve"> de 128.58. La KS de son coté de par son calcul devrait mécaniquement remonter </w:t>
      </w:r>
      <w:r w:rsidR="00AF39A6">
        <w:rPr>
          <w:rFonts w:ascii="Tahoma" w:hAnsi="Tahoma" w:cs="Tahoma"/>
        </w:rPr>
        <w:t>légèrement</w:t>
      </w:r>
      <w:r>
        <w:rPr>
          <w:rFonts w:ascii="Tahoma" w:hAnsi="Tahoma" w:cs="Tahoma"/>
        </w:rPr>
        <w:t>.</w:t>
      </w:r>
    </w:p>
    <w:p w14:paraId="1B4B4024" w14:textId="709A7ED5" w:rsidR="001178BF" w:rsidRDefault="001178BF" w:rsidP="00B94D71">
      <w:pPr>
        <w:jc w:val="both"/>
        <w:rPr>
          <w:rFonts w:ascii="Tahoma" w:hAnsi="Tahoma" w:cs="Tahoma"/>
        </w:rPr>
      </w:pPr>
      <w:r>
        <w:rPr>
          <w:rFonts w:ascii="Tahoma" w:hAnsi="Tahoma" w:cs="Tahoma"/>
        </w:rPr>
        <w:t>Le contexte reste hésitant mais parmi ce que je viens de citer</w:t>
      </w:r>
      <w:r w:rsidR="00A354CF">
        <w:rPr>
          <w:rFonts w:ascii="Tahoma" w:hAnsi="Tahoma" w:cs="Tahoma"/>
        </w:rPr>
        <w:t>,</w:t>
      </w:r>
      <w:r>
        <w:rPr>
          <w:rFonts w:ascii="Tahoma" w:hAnsi="Tahoma" w:cs="Tahoma"/>
        </w:rPr>
        <w:t xml:space="preserve"> des éléments positifs se mettent en place</w:t>
      </w:r>
      <w:r w:rsidR="00A354CF">
        <w:rPr>
          <w:rFonts w:ascii="Tahoma" w:hAnsi="Tahoma" w:cs="Tahoma"/>
        </w:rPr>
        <w:t>. M</w:t>
      </w:r>
      <w:r>
        <w:rPr>
          <w:rFonts w:ascii="Tahoma" w:hAnsi="Tahoma" w:cs="Tahoma"/>
        </w:rPr>
        <w:t xml:space="preserve">ême si la ligne de </w:t>
      </w:r>
      <w:r w:rsidR="00AF39A6">
        <w:rPr>
          <w:rFonts w:ascii="Tahoma" w:hAnsi="Tahoma" w:cs="Tahoma"/>
        </w:rPr>
        <w:t>contre-attaque</w:t>
      </w:r>
      <w:r>
        <w:rPr>
          <w:rFonts w:ascii="Tahoma" w:hAnsi="Tahoma" w:cs="Tahoma"/>
        </w:rPr>
        <w:t xml:space="preserve"> appelle à </w:t>
      </w:r>
      <w:r w:rsidR="00AF39A6">
        <w:rPr>
          <w:rFonts w:ascii="Tahoma" w:hAnsi="Tahoma" w:cs="Tahoma"/>
        </w:rPr>
        <w:t>être</w:t>
      </w:r>
      <w:r>
        <w:rPr>
          <w:rFonts w:ascii="Tahoma" w:hAnsi="Tahoma" w:cs="Tahoma"/>
        </w:rPr>
        <w:t xml:space="preserve"> prudent</w:t>
      </w:r>
      <w:r w:rsidR="00A354CF">
        <w:rPr>
          <w:rFonts w:ascii="Tahoma" w:hAnsi="Tahoma" w:cs="Tahoma"/>
        </w:rPr>
        <w:t>,</w:t>
      </w:r>
      <w:r w:rsidR="00D821BF">
        <w:rPr>
          <w:rFonts w:ascii="Tahoma" w:hAnsi="Tahoma" w:cs="Tahoma"/>
        </w:rPr>
        <w:t xml:space="preserve"> </w:t>
      </w:r>
      <w:r>
        <w:rPr>
          <w:rFonts w:ascii="Tahoma" w:hAnsi="Tahoma" w:cs="Tahoma"/>
        </w:rPr>
        <w:t xml:space="preserve">128.13 et 127.57 resteront des points de support </w:t>
      </w:r>
      <w:r w:rsidR="00AF39A6">
        <w:rPr>
          <w:rFonts w:ascii="Tahoma" w:hAnsi="Tahoma" w:cs="Tahoma"/>
        </w:rPr>
        <w:t>au-dessus</w:t>
      </w:r>
      <w:r w:rsidR="000F36B6">
        <w:rPr>
          <w:rFonts w:ascii="Tahoma" w:hAnsi="Tahoma" w:cs="Tahoma"/>
        </w:rPr>
        <w:t xml:space="preserve"> desquels une poursuite de la hausse sur un horizon de court terme restera envisageable.</w:t>
      </w:r>
    </w:p>
    <w:p w14:paraId="258EB8FF" w14:textId="5525D82C" w:rsidR="00B94D71" w:rsidRDefault="00071F75" w:rsidP="00A354CF">
      <w:pPr>
        <w:spacing w:after="0"/>
        <w:jc w:val="both"/>
        <w:rPr>
          <w:rFonts w:ascii="Tahoma" w:hAnsi="Tahoma" w:cs="Tahoma"/>
        </w:rPr>
      </w:pPr>
      <w:r>
        <w:rPr>
          <w:rFonts w:ascii="Tahoma" w:hAnsi="Tahoma" w:cs="Tahoma"/>
        </w:rPr>
        <w:lastRenderedPageBreak/>
        <w:t xml:space="preserve"> </w:t>
      </w:r>
      <w:r w:rsidR="00B94D71">
        <w:rPr>
          <w:rFonts w:ascii="Tahoma" w:hAnsi="Tahoma" w:cs="Tahoma"/>
          <w:u w:val="single"/>
        </w:rPr>
        <w:t>CONCLUSION</w:t>
      </w:r>
      <w:r w:rsidR="00B94D71">
        <w:rPr>
          <w:rFonts w:ascii="Tahoma" w:hAnsi="Tahoma" w:cs="Tahoma"/>
        </w:rPr>
        <w:t> :</w:t>
      </w:r>
      <w:r w:rsidR="000F36B6">
        <w:rPr>
          <w:rFonts w:ascii="Tahoma" w:hAnsi="Tahoma" w:cs="Tahoma"/>
        </w:rPr>
        <w:t xml:space="preserve"> Le contrat évolue dans sa zone d’équilibre de court terme</w:t>
      </w:r>
      <w:r w:rsidR="00A354CF">
        <w:rPr>
          <w:rFonts w:ascii="Tahoma" w:hAnsi="Tahoma" w:cs="Tahoma"/>
        </w:rPr>
        <w:t>, soit une z</w:t>
      </w:r>
      <w:r w:rsidR="000F36B6">
        <w:rPr>
          <w:rFonts w:ascii="Tahoma" w:hAnsi="Tahoma" w:cs="Tahoma"/>
        </w:rPr>
        <w:t xml:space="preserve">one tracée par la borne haute et basse du nuage des prix, soit </w:t>
      </w:r>
      <w:r w:rsidR="000B156C">
        <w:rPr>
          <w:rFonts w:ascii="Tahoma" w:hAnsi="Tahoma" w:cs="Tahoma"/>
        </w:rPr>
        <w:t>128.80/70 en résistance et 127.70/80 en support.</w:t>
      </w:r>
    </w:p>
    <w:p w14:paraId="058D4EFC" w14:textId="71605523" w:rsidR="000B156C" w:rsidRDefault="00C05AF7" w:rsidP="00B94D71">
      <w:pPr>
        <w:jc w:val="both"/>
        <w:rPr>
          <w:rFonts w:ascii="Tahoma" w:hAnsi="Tahoma" w:cs="Tahoma"/>
        </w:rPr>
      </w:pPr>
      <w:r>
        <w:rPr>
          <w:rFonts w:ascii="Tahoma" w:hAnsi="Tahoma" w:cs="Tahoma"/>
        </w:rPr>
        <w:t xml:space="preserve">Le dépassement de 128.13 est positif mais il devra </w:t>
      </w:r>
      <w:r w:rsidR="00AF39A6">
        <w:rPr>
          <w:rFonts w:ascii="Tahoma" w:hAnsi="Tahoma" w:cs="Tahoma"/>
        </w:rPr>
        <w:t>être</w:t>
      </w:r>
      <w:r>
        <w:rPr>
          <w:rFonts w:ascii="Tahoma" w:hAnsi="Tahoma" w:cs="Tahoma"/>
        </w:rPr>
        <w:t xml:space="preserve"> maintenu en </w:t>
      </w:r>
      <w:r w:rsidR="00AF39A6">
        <w:rPr>
          <w:rFonts w:ascii="Tahoma" w:hAnsi="Tahoma" w:cs="Tahoma"/>
        </w:rPr>
        <w:t>clôture</w:t>
      </w:r>
      <w:r>
        <w:rPr>
          <w:rFonts w:ascii="Tahoma" w:hAnsi="Tahoma" w:cs="Tahoma"/>
        </w:rPr>
        <w:t xml:space="preserve"> pour envisager une sortie de la zone de consolidation horizontale de court terme comprise entre 127.57 et 128.45</w:t>
      </w:r>
      <w:r w:rsidR="006D1193">
        <w:rPr>
          <w:rFonts w:ascii="Tahoma" w:hAnsi="Tahoma" w:cs="Tahoma"/>
        </w:rPr>
        <w:t>.</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6F82D5CE" w:rsidR="00723F77" w:rsidRPr="00723F77" w:rsidRDefault="001178BF" w:rsidP="00723F77">
      <w:pPr>
        <w:spacing w:after="0" w:line="240" w:lineRule="auto"/>
        <w:jc w:val="both"/>
        <w:rPr>
          <w:rFonts w:ascii="Arial" w:eastAsia="Calibri" w:hAnsi="Arial" w:cs="Arial"/>
          <w:b/>
          <w:i/>
          <w:sz w:val="24"/>
          <w:szCs w:val="24"/>
          <w:lang w:eastAsia="fr-FR"/>
        </w:rPr>
      </w:pPr>
      <w:r>
        <w:rPr>
          <w:rFonts w:ascii="Arial" w:eastAsia="Calibri" w:hAnsi="Arial" w:cs="Arial"/>
          <w:b/>
          <w:i/>
          <w:sz w:val="24"/>
          <w:szCs w:val="24"/>
          <w:lang w:eastAsia="fr-FR"/>
        </w:rPr>
        <w:t xml:space="preserve"> </w:t>
      </w: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4544D"/>
    <w:rsid w:val="000524C5"/>
    <w:rsid w:val="000556C3"/>
    <w:rsid w:val="00071F75"/>
    <w:rsid w:val="000833FB"/>
    <w:rsid w:val="00092058"/>
    <w:rsid w:val="000938CC"/>
    <w:rsid w:val="000B156C"/>
    <w:rsid w:val="000B221E"/>
    <w:rsid w:val="000B7DFC"/>
    <w:rsid w:val="000C0DE4"/>
    <w:rsid w:val="000D4ED3"/>
    <w:rsid w:val="000F36B6"/>
    <w:rsid w:val="001018AD"/>
    <w:rsid w:val="00103ED4"/>
    <w:rsid w:val="00105B4E"/>
    <w:rsid w:val="001178BF"/>
    <w:rsid w:val="00134AFA"/>
    <w:rsid w:val="00135766"/>
    <w:rsid w:val="0014687D"/>
    <w:rsid w:val="00151A47"/>
    <w:rsid w:val="0015581D"/>
    <w:rsid w:val="00163C46"/>
    <w:rsid w:val="001705F4"/>
    <w:rsid w:val="00190995"/>
    <w:rsid w:val="001A4796"/>
    <w:rsid w:val="001D474B"/>
    <w:rsid w:val="001F650A"/>
    <w:rsid w:val="002003AD"/>
    <w:rsid w:val="00207EBA"/>
    <w:rsid w:val="002163FA"/>
    <w:rsid w:val="002421FE"/>
    <w:rsid w:val="00243B65"/>
    <w:rsid w:val="00262E25"/>
    <w:rsid w:val="00263ED0"/>
    <w:rsid w:val="002A1F8E"/>
    <w:rsid w:val="002B5CB1"/>
    <w:rsid w:val="002C0A31"/>
    <w:rsid w:val="002E74A0"/>
    <w:rsid w:val="002F54B0"/>
    <w:rsid w:val="00303214"/>
    <w:rsid w:val="0030643B"/>
    <w:rsid w:val="00337611"/>
    <w:rsid w:val="00340FD9"/>
    <w:rsid w:val="00352DD9"/>
    <w:rsid w:val="003767E0"/>
    <w:rsid w:val="0038790D"/>
    <w:rsid w:val="00392F2F"/>
    <w:rsid w:val="00397D3D"/>
    <w:rsid w:val="0040171B"/>
    <w:rsid w:val="00445F5D"/>
    <w:rsid w:val="00467005"/>
    <w:rsid w:val="004A2D2D"/>
    <w:rsid w:val="004A5154"/>
    <w:rsid w:val="004C2BBE"/>
    <w:rsid w:val="004F48EE"/>
    <w:rsid w:val="00531928"/>
    <w:rsid w:val="005440A4"/>
    <w:rsid w:val="00546A5A"/>
    <w:rsid w:val="00566580"/>
    <w:rsid w:val="00567AF3"/>
    <w:rsid w:val="00583BC8"/>
    <w:rsid w:val="00654380"/>
    <w:rsid w:val="00664BE1"/>
    <w:rsid w:val="006B055C"/>
    <w:rsid w:val="006D1193"/>
    <w:rsid w:val="006E32BB"/>
    <w:rsid w:val="006E38E0"/>
    <w:rsid w:val="00710599"/>
    <w:rsid w:val="00723F77"/>
    <w:rsid w:val="00744696"/>
    <w:rsid w:val="00772067"/>
    <w:rsid w:val="0077545D"/>
    <w:rsid w:val="007A0A4B"/>
    <w:rsid w:val="007A0E6C"/>
    <w:rsid w:val="007B1237"/>
    <w:rsid w:val="007B661D"/>
    <w:rsid w:val="007C19E2"/>
    <w:rsid w:val="007D19FF"/>
    <w:rsid w:val="007D2085"/>
    <w:rsid w:val="007D4181"/>
    <w:rsid w:val="0083454A"/>
    <w:rsid w:val="00837B38"/>
    <w:rsid w:val="00896554"/>
    <w:rsid w:val="008A7407"/>
    <w:rsid w:val="008F10C2"/>
    <w:rsid w:val="00902D2F"/>
    <w:rsid w:val="00911AAA"/>
    <w:rsid w:val="00961FDF"/>
    <w:rsid w:val="00983B7D"/>
    <w:rsid w:val="00986E85"/>
    <w:rsid w:val="009A37C2"/>
    <w:rsid w:val="009F3AB8"/>
    <w:rsid w:val="00A11606"/>
    <w:rsid w:val="00A354CF"/>
    <w:rsid w:val="00A6401C"/>
    <w:rsid w:val="00A81AB7"/>
    <w:rsid w:val="00AA522C"/>
    <w:rsid w:val="00AE7F3B"/>
    <w:rsid w:val="00AF39A6"/>
    <w:rsid w:val="00B34260"/>
    <w:rsid w:val="00B41C02"/>
    <w:rsid w:val="00B4335A"/>
    <w:rsid w:val="00B50E38"/>
    <w:rsid w:val="00B554B8"/>
    <w:rsid w:val="00B64EE0"/>
    <w:rsid w:val="00B94D71"/>
    <w:rsid w:val="00BB0E32"/>
    <w:rsid w:val="00BB6D9D"/>
    <w:rsid w:val="00BC77A5"/>
    <w:rsid w:val="00BD3FC1"/>
    <w:rsid w:val="00C05AF7"/>
    <w:rsid w:val="00C17ED7"/>
    <w:rsid w:val="00C41F15"/>
    <w:rsid w:val="00C70171"/>
    <w:rsid w:val="00C70A68"/>
    <w:rsid w:val="00C82E98"/>
    <w:rsid w:val="00CB17C9"/>
    <w:rsid w:val="00CC72FF"/>
    <w:rsid w:val="00CC7C21"/>
    <w:rsid w:val="00CE0886"/>
    <w:rsid w:val="00CF2516"/>
    <w:rsid w:val="00CF6D63"/>
    <w:rsid w:val="00D23B28"/>
    <w:rsid w:val="00D46C8D"/>
    <w:rsid w:val="00D821BF"/>
    <w:rsid w:val="00DA1359"/>
    <w:rsid w:val="00DE5444"/>
    <w:rsid w:val="00DF072F"/>
    <w:rsid w:val="00E32014"/>
    <w:rsid w:val="00E3727C"/>
    <w:rsid w:val="00EB58BA"/>
    <w:rsid w:val="00EE6B93"/>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697</TotalTime>
  <Pages>3</Pages>
  <Words>602</Words>
  <Characters>3314</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115</cp:revision>
  <dcterms:created xsi:type="dcterms:W3CDTF">2021-11-25T09:44:00Z</dcterms:created>
  <dcterms:modified xsi:type="dcterms:W3CDTF">2026-02-08T09:07:00Z</dcterms:modified>
</cp:coreProperties>
</file>