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16D13B6F" w14:textId="77777777" w:rsidR="006402B3" w:rsidRDefault="006402B3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0A532DD9" w14:textId="77777777" w:rsidR="006402B3" w:rsidRPr="00041E45" w:rsidRDefault="006402B3" w:rsidP="006402B3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3BB44B31" w14:textId="5F99C22D" w:rsidR="006402B3" w:rsidRDefault="006402B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2B53C27" wp14:editId="4C6F01FE">
            <wp:extent cx="5760720" cy="4320540"/>
            <wp:effectExtent l="0" t="0" r="0" b="3810"/>
            <wp:docPr id="179419096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89CBE" w14:textId="77777777" w:rsidR="006402B3" w:rsidRDefault="006402B3" w:rsidP="00B41C02">
      <w:pPr>
        <w:jc w:val="both"/>
        <w:rPr>
          <w:rFonts w:ascii="Tahoma" w:hAnsi="Tahoma" w:cs="Tahoma"/>
        </w:rPr>
      </w:pPr>
    </w:p>
    <w:p w14:paraId="5717425F" w14:textId="596EDF2A" w:rsidR="006402B3" w:rsidRDefault="006402B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Sur le court terme, le contrat Bund est sorti de sa zone de consolidation horizontale en dépassement de 128.45. Cette </w:t>
      </w:r>
      <w:r w:rsidR="00FB7658">
        <w:rPr>
          <w:rFonts w:ascii="Tahoma" w:hAnsi="Tahoma" w:cs="Tahoma"/>
        </w:rPr>
        <w:t>rupture</w:t>
      </w:r>
      <w:r>
        <w:rPr>
          <w:rFonts w:ascii="Tahoma" w:hAnsi="Tahoma" w:cs="Tahoma"/>
        </w:rPr>
        <w:t xml:space="preserve"> a permis aux prix de dépasser la borne haute du nuage, susceptible de servir de résistance. </w:t>
      </w:r>
    </w:p>
    <w:p w14:paraId="3141EF0C" w14:textId="67544D66" w:rsidR="006402B3" w:rsidRDefault="006402B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Après le croisement haussier TS/KS qui a eu lieu au cours du mois de janvier, c’est maintenant le dépassement du nuage par les prix qui </w:t>
      </w:r>
      <w:r w:rsidR="00801157">
        <w:rPr>
          <w:rFonts w:ascii="Tahoma" w:hAnsi="Tahoma" w:cs="Tahoma"/>
        </w:rPr>
        <w:t>renforce la vague de hausse issue de l’étoile du matin formée à la fin du mois de décembre.</w:t>
      </w:r>
    </w:p>
    <w:p w14:paraId="73B294B5" w14:textId="7F5D99AA" w:rsidR="00801157" w:rsidRDefault="0080115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Il reste maintenant un dernier obstacle à franchir </w:t>
      </w:r>
      <w:r w:rsidR="008C1149">
        <w:rPr>
          <w:rFonts w:ascii="Tahoma" w:hAnsi="Tahoma" w:cs="Tahoma"/>
        </w:rPr>
        <w:t xml:space="preserve">et une dernière confirmation </w:t>
      </w:r>
      <w:r>
        <w:rPr>
          <w:rFonts w:ascii="Tahoma" w:hAnsi="Tahoma" w:cs="Tahoma"/>
        </w:rPr>
        <w:t xml:space="preserve">pour placer le court terme dans un environnement </w:t>
      </w:r>
      <w:r w:rsidR="00FB7658">
        <w:rPr>
          <w:rFonts w:ascii="Tahoma" w:hAnsi="Tahoma" w:cs="Tahoma"/>
        </w:rPr>
        <w:t>favorable à la hausse</w:t>
      </w:r>
      <w:r>
        <w:rPr>
          <w:rFonts w:ascii="Tahoma" w:hAnsi="Tahoma" w:cs="Tahoma"/>
        </w:rPr>
        <w:t>. Cet obstacle se situe au niveau de la LS. Il est matérialisé par un plat de SSB sur 129.53.</w:t>
      </w:r>
    </w:p>
    <w:p w14:paraId="0DF40182" w14:textId="31F72C82" w:rsidR="008C1149" w:rsidRDefault="008C1149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le marché est suracheté comme l’indiquent l’indicateur technique et l’écart important entre les prix et la TS. Les cours doivent revenir sur la TS </w:t>
      </w:r>
      <w:r w:rsidR="00FB7658">
        <w:rPr>
          <w:rFonts w:ascii="Tahoma" w:hAnsi="Tahoma" w:cs="Tahoma"/>
        </w:rPr>
        <w:t>sous la forme d’une</w:t>
      </w:r>
      <w:r w:rsidR="00BC6D9D">
        <w:rPr>
          <w:rFonts w:ascii="Tahoma" w:hAnsi="Tahoma" w:cs="Tahoma"/>
        </w:rPr>
        <w:t xml:space="preserve"> correction </w:t>
      </w:r>
      <w:r>
        <w:rPr>
          <w:rFonts w:ascii="Tahoma" w:hAnsi="Tahoma" w:cs="Tahoma"/>
        </w:rPr>
        <w:t>pour envisager un dépassement de la résistance de 129.53.</w:t>
      </w:r>
    </w:p>
    <w:p w14:paraId="5FC0AB7E" w14:textId="72735628" w:rsidR="006402B3" w:rsidRPr="00FB7658" w:rsidRDefault="00BC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contexte, une correction pourrait s’appuyer sur l’ancienne résistance de 128.45.</w:t>
      </w:r>
    </w:p>
    <w:p w14:paraId="6A0F7EC2" w14:textId="0EB563C1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Week</w:t>
      </w:r>
    </w:p>
    <w:p w14:paraId="2862B446" w14:textId="46728503" w:rsidR="00902D2F" w:rsidRDefault="006402B3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910A059" wp14:editId="1C7F228B">
            <wp:extent cx="5760720" cy="4320540"/>
            <wp:effectExtent l="0" t="0" r="0" b="3810"/>
            <wp:docPr id="67138200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553FE" w14:textId="319344C9" w:rsidR="00E01ED7" w:rsidRDefault="00B55998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Comme l’a montré le court terme, la poursuite de la hausse sera conditionnée par un dépassement en </w:t>
      </w:r>
      <w:r w:rsidR="009672A1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de 129.53</w:t>
      </w:r>
      <w:r w:rsidR="00E01ED7">
        <w:rPr>
          <w:rFonts w:ascii="Tahoma" w:hAnsi="Tahoma" w:cs="Tahoma"/>
        </w:rPr>
        <w:t>. Sur l’unité de temps supérieur</w:t>
      </w:r>
      <w:r w:rsidR="00FB7658">
        <w:rPr>
          <w:rFonts w:ascii="Tahoma" w:hAnsi="Tahoma" w:cs="Tahoma"/>
        </w:rPr>
        <w:t>e</w:t>
      </w:r>
      <w:r w:rsidR="00E01ED7">
        <w:rPr>
          <w:rFonts w:ascii="Tahoma" w:hAnsi="Tahoma" w:cs="Tahoma"/>
        </w:rPr>
        <w:t xml:space="preserve">, </w:t>
      </w:r>
      <w:r w:rsidR="00F80A1E">
        <w:rPr>
          <w:rFonts w:ascii="Tahoma" w:hAnsi="Tahoma" w:cs="Tahoma"/>
        </w:rPr>
        <w:t xml:space="preserve">c’est-à-dire le weekly, </w:t>
      </w:r>
      <w:r w:rsidR="00E01ED7">
        <w:rPr>
          <w:rFonts w:ascii="Tahoma" w:hAnsi="Tahoma" w:cs="Tahoma"/>
        </w:rPr>
        <w:t xml:space="preserve">le marché consolide entre 126.72 et 136.30. </w:t>
      </w:r>
    </w:p>
    <w:p w14:paraId="374D1F17" w14:textId="610C3B2E" w:rsidR="00583BC8" w:rsidRDefault="00E01ED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hausse de ces derniers jours a permis d’éloigner le contrat de son support et de le rapprocher de son point d’équilibre que j’ai défini sur 130.89</w:t>
      </w:r>
      <w:r w:rsidR="00F80A1E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F80A1E">
        <w:rPr>
          <w:rFonts w:ascii="Tahoma" w:hAnsi="Tahoma" w:cs="Tahoma"/>
        </w:rPr>
        <w:t>il</w:t>
      </w:r>
      <w:r>
        <w:rPr>
          <w:rFonts w:ascii="Tahoma" w:hAnsi="Tahoma" w:cs="Tahoma"/>
        </w:rPr>
        <w:t xml:space="preserve"> est matérialisé par un plat de SSB. </w:t>
      </w:r>
    </w:p>
    <w:p w14:paraId="63EC9FF0" w14:textId="780F0A19" w:rsidR="00E01ED7" w:rsidRDefault="00E01ED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longue chandelle noire de la semaine du 03 mars 2025 influence négativement l’évolution des cours. </w:t>
      </w:r>
      <w:r w:rsidR="00F80A1E">
        <w:rPr>
          <w:rFonts w:ascii="Tahoma" w:hAnsi="Tahoma" w:cs="Tahoma"/>
        </w:rPr>
        <w:t>En dépassement de 130.89, le</w:t>
      </w:r>
      <w:r>
        <w:rPr>
          <w:rFonts w:ascii="Tahoma" w:hAnsi="Tahoma" w:cs="Tahoma"/>
        </w:rPr>
        <w:t xml:space="preserve"> contrat devra </w:t>
      </w:r>
      <w:r w:rsidR="00F80A1E">
        <w:rPr>
          <w:rFonts w:ascii="Tahoma" w:hAnsi="Tahoma" w:cs="Tahoma"/>
        </w:rPr>
        <w:t xml:space="preserve">s’en </w:t>
      </w:r>
      <w:r>
        <w:rPr>
          <w:rFonts w:ascii="Tahoma" w:hAnsi="Tahoma" w:cs="Tahoma"/>
        </w:rPr>
        <w:t xml:space="preserve">affranchir par </w:t>
      </w:r>
      <w:r w:rsidR="00F80A1E">
        <w:rPr>
          <w:rFonts w:ascii="Tahoma" w:hAnsi="Tahoma" w:cs="Tahoma"/>
        </w:rPr>
        <w:t>une rupture</w:t>
      </w:r>
      <w:r>
        <w:rPr>
          <w:rFonts w:ascii="Tahoma" w:hAnsi="Tahoma" w:cs="Tahoma"/>
        </w:rPr>
        <w:t xml:space="preserve"> de</w:t>
      </w:r>
      <w:r w:rsidR="00FB7658">
        <w:rPr>
          <w:rFonts w:ascii="Tahoma" w:hAnsi="Tahoma" w:cs="Tahoma"/>
        </w:rPr>
        <w:t xml:space="preserve"> son haut de</w:t>
      </w:r>
      <w:r>
        <w:rPr>
          <w:rFonts w:ascii="Tahoma" w:hAnsi="Tahoma" w:cs="Tahoma"/>
        </w:rPr>
        <w:t xml:space="preserve"> 131.25</w:t>
      </w:r>
      <w:r w:rsidR="00FB7658">
        <w:rPr>
          <w:rFonts w:ascii="Tahoma" w:hAnsi="Tahoma" w:cs="Tahoma"/>
        </w:rPr>
        <w:t>. Cette action permettra d’</w:t>
      </w:r>
      <w:r>
        <w:rPr>
          <w:rFonts w:ascii="Tahoma" w:hAnsi="Tahoma" w:cs="Tahoma"/>
        </w:rPr>
        <w:t>envisager une poursuite de la hausse en direction de la borne haute de la consolidation</w:t>
      </w:r>
      <w:r w:rsidR="00B561F0">
        <w:rPr>
          <w:rFonts w:ascii="Tahoma" w:hAnsi="Tahoma" w:cs="Tahoma"/>
        </w:rPr>
        <w:t>.</w:t>
      </w:r>
    </w:p>
    <w:p w14:paraId="7C8978B6" w14:textId="77777777" w:rsidR="00F80A1E" w:rsidRDefault="00F80A1E" w:rsidP="00041E45">
      <w:pPr>
        <w:jc w:val="both"/>
        <w:rPr>
          <w:rFonts w:ascii="Tahoma" w:hAnsi="Tahoma" w:cs="Tahoma"/>
        </w:rPr>
      </w:pPr>
    </w:p>
    <w:p w14:paraId="30FCC265" w14:textId="33B0C877" w:rsidR="00F80A1E" w:rsidRDefault="00B94D71" w:rsidP="00E70DF6">
      <w:pPr>
        <w:spacing w:after="0"/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80A1E">
        <w:rPr>
          <w:rFonts w:ascii="Tahoma" w:hAnsi="Tahoma" w:cs="Tahoma"/>
        </w:rPr>
        <w:t xml:space="preserve"> La hausse de court terme a placé le contrat dans un environnement suracheté. L’approche de la résistance de 129.53 limite ainsi le potentiel de hausse des prix si aucune correction n’intervient avant le test de </w:t>
      </w:r>
      <w:r w:rsidR="00E70DF6">
        <w:rPr>
          <w:rFonts w:ascii="Tahoma" w:hAnsi="Tahoma" w:cs="Tahoma"/>
        </w:rPr>
        <w:t>cette</w:t>
      </w:r>
      <w:r w:rsidR="00F80A1E">
        <w:rPr>
          <w:rFonts w:ascii="Tahoma" w:hAnsi="Tahoma" w:cs="Tahoma"/>
        </w:rPr>
        <w:t xml:space="preserve"> résistance.</w:t>
      </w:r>
      <w:r w:rsidR="00951D5D">
        <w:rPr>
          <w:rFonts w:ascii="Tahoma" w:hAnsi="Tahoma" w:cs="Tahoma"/>
        </w:rPr>
        <w:t xml:space="preserve"> </w:t>
      </w:r>
      <w:r w:rsidR="00FA19C9">
        <w:rPr>
          <w:rFonts w:ascii="Tahoma" w:hAnsi="Tahoma" w:cs="Tahoma"/>
        </w:rPr>
        <w:t>Cette baisse pourrait</w:t>
      </w:r>
      <w:r w:rsidR="00E70DF6">
        <w:rPr>
          <w:rFonts w:ascii="Tahoma" w:hAnsi="Tahoma" w:cs="Tahoma"/>
        </w:rPr>
        <w:t xml:space="preserve"> </w:t>
      </w:r>
      <w:r w:rsidR="00FA19C9">
        <w:rPr>
          <w:rFonts w:ascii="Tahoma" w:hAnsi="Tahoma" w:cs="Tahoma"/>
        </w:rPr>
        <w:t>s’</w:t>
      </w:r>
      <w:r w:rsidR="009672A1">
        <w:rPr>
          <w:rFonts w:ascii="Tahoma" w:hAnsi="Tahoma" w:cs="Tahoma"/>
        </w:rPr>
        <w:t>étendre</w:t>
      </w:r>
      <w:r w:rsidR="00EB4732">
        <w:rPr>
          <w:rFonts w:ascii="Tahoma" w:hAnsi="Tahoma" w:cs="Tahoma"/>
        </w:rPr>
        <w:t xml:space="preserve"> jusqu’à</w:t>
      </w:r>
      <w:r w:rsidR="00FA19C9">
        <w:rPr>
          <w:rFonts w:ascii="Tahoma" w:hAnsi="Tahoma" w:cs="Tahoma"/>
        </w:rPr>
        <w:t xml:space="preserve"> l’ancienne résistance de 128.45</w:t>
      </w:r>
      <w:r w:rsidR="00EB4732">
        <w:rPr>
          <w:rFonts w:ascii="Tahoma" w:hAnsi="Tahoma" w:cs="Tahoma"/>
        </w:rPr>
        <w:t xml:space="preserve"> sans pour autant remettre en question le biais </w:t>
      </w:r>
      <w:r w:rsidR="009672A1">
        <w:rPr>
          <w:rFonts w:ascii="Tahoma" w:hAnsi="Tahoma" w:cs="Tahoma"/>
        </w:rPr>
        <w:t>haussier</w:t>
      </w:r>
      <w:r w:rsidR="00EB4732">
        <w:rPr>
          <w:rFonts w:ascii="Tahoma" w:hAnsi="Tahoma" w:cs="Tahoma"/>
        </w:rPr>
        <w:t>.</w:t>
      </w:r>
    </w:p>
    <w:p w14:paraId="5505A396" w14:textId="2546064D" w:rsidR="00EB4732" w:rsidRDefault="00EB4732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dépassement de 129.53, une zone de résistance </w:t>
      </w:r>
      <w:r w:rsidR="00E70DF6">
        <w:rPr>
          <w:rFonts w:ascii="Tahoma" w:hAnsi="Tahoma" w:cs="Tahoma"/>
        </w:rPr>
        <w:t xml:space="preserve">de moyen terme </w:t>
      </w:r>
      <w:r>
        <w:rPr>
          <w:rFonts w:ascii="Tahoma" w:hAnsi="Tahoma" w:cs="Tahoma"/>
        </w:rPr>
        <w:t>comprise entre 130.89 et 131.25</w:t>
      </w:r>
      <w:r w:rsidR="009672A1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limite actuellement le potentiel de hausse du contrat Bund.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0E1F6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402B3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01157"/>
    <w:rsid w:val="0083454A"/>
    <w:rsid w:val="00837B38"/>
    <w:rsid w:val="00896554"/>
    <w:rsid w:val="008A7407"/>
    <w:rsid w:val="008C1149"/>
    <w:rsid w:val="008F10C2"/>
    <w:rsid w:val="00902D2F"/>
    <w:rsid w:val="00951D5D"/>
    <w:rsid w:val="00961FDF"/>
    <w:rsid w:val="009672A1"/>
    <w:rsid w:val="00983B7D"/>
    <w:rsid w:val="009A37C2"/>
    <w:rsid w:val="009F3AB8"/>
    <w:rsid w:val="00A11606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55998"/>
    <w:rsid w:val="00B561F0"/>
    <w:rsid w:val="00B64EE0"/>
    <w:rsid w:val="00B94D71"/>
    <w:rsid w:val="00BB0E32"/>
    <w:rsid w:val="00BB6D9D"/>
    <w:rsid w:val="00BC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01ED7"/>
    <w:rsid w:val="00E32014"/>
    <w:rsid w:val="00E3727C"/>
    <w:rsid w:val="00E70DF6"/>
    <w:rsid w:val="00EB4732"/>
    <w:rsid w:val="00EB58BA"/>
    <w:rsid w:val="00EE6B93"/>
    <w:rsid w:val="00F04A6E"/>
    <w:rsid w:val="00F04DEF"/>
    <w:rsid w:val="00F31070"/>
    <w:rsid w:val="00F53F10"/>
    <w:rsid w:val="00F636F8"/>
    <w:rsid w:val="00F80A1E"/>
    <w:rsid w:val="00FA19C9"/>
    <w:rsid w:val="00FA2C8E"/>
    <w:rsid w:val="00FB7658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3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109</cp:revision>
  <dcterms:created xsi:type="dcterms:W3CDTF">2021-11-25T09:44:00Z</dcterms:created>
  <dcterms:modified xsi:type="dcterms:W3CDTF">2026-02-14T15:18:00Z</dcterms:modified>
</cp:coreProperties>
</file>