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94BF8A" w14:textId="7CB3900E" w:rsidR="00902D2F" w:rsidRPr="00263ED0" w:rsidRDefault="00263ED0" w:rsidP="00B41C02">
      <w:pPr>
        <w:jc w:val="both"/>
        <w:rPr>
          <w:rFonts w:ascii="Tahoma" w:hAnsi="Tahoma" w:cs="Tahoma"/>
          <w:sz w:val="48"/>
          <w:szCs w:val="48"/>
          <w:u w:val="single"/>
        </w:rPr>
      </w:pPr>
      <w:r>
        <w:rPr>
          <w:rFonts w:ascii="Tahoma" w:hAnsi="Tahoma" w:cs="Tahoma"/>
        </w:rPr>
        <w:t xml:space="preserve">                                      </w:t>
      </w:r>
      <w:r w:rsidR="003767E0">
        <w:rPr>
          <w:rFonts w:ascii="Tahoma" w:hAnsi="Tahoma" w:cs="Tahoma"/>
          <w:sz w:val="48"/>
          <w:szCs w:val="48"/>
          <w:u w:val="single"/>
        </w:rPr>
        <w:t>Bund</w:t>
      </w:r>
      <w:r w:rsidRPr="00263ED0">
        <w:rPr>
          <w:rFonts w:ascii="Tahoma" w:hAnsi="Tahoma" w:cs="Tahoma"/>
          <w:sz w:val="48"/>
          <w:szCs w:val="48"/>
          <w:u w:val="single"/>
        </w:rPr>
        <w:t xml:space="preserve"> </w:t>
      </w:r>
    </w:p>
    <w:p w14:paraId="46397B47" w14:textId="77777777" w:rsidR="003629FD" w:rsidRPr="00041E45" w:rsidRDefault="003629FD" w:rsidP="003629FD">
      <w:pPr>
        <w:jc w:val="both"/>
        <w:rPr>
          <w:rFonts w:ascii="Tahoma" w:hAnsi="Tahoma" w:cs="Tahoma"/>
          <w:sz w:val="32"/>
          <w:szCs w:val="32"/>
          <w:u w:val="single"/>
        </w:rPr>
      </w:pPr>
      <w:r w:rsidRPr="00041E45">
        <w:rPr>
          <w:rFonts w:ascii="Tahoma" w:hAnsi="Tahoma" w:cs="Tahoma"/>
          <w:sz w:val="32"/>
          <w:szCs w:val="32"/>
          <w:u w:val="single"/>
        </w:rPr>
        <w:t>DAY</w:t>
      </w:r>
    </w:p>
    <w:p w14:paraId="263B3420" w14:textId="78282828" w:rsidR="003629FD" w:rsidRDefault="003629FD" w:rsidP="003629FD">
      <w:pPr>
        <w:jc w:val="both"/>
        <w:rPr>
          <w:rFonts w:ascii="Tahoma" w:hAnsi="Tahoma" w:cs="Tahoma"/>
        </w:rPr>
      </w:pPr>
      <w:r>
        <w:rPr>
          <w:noProof/>
        </w:rPr>
        <w:drawing>
          <wp:inline distT="0" distB="0" distL="0" distR="0" wp14:anchorId="76F961B2" wp14:editId="1F6103BF">
            <wp:extent cx="5760720" cy="4320540"/>
            <wp:effectExtent l="0" t="0" r="0" b="3810"/>
            <wp:docPr id="13369777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616A2D4C" w14:textId="19AC66CE" w:rsidR="00440BA1" w:rsidRDefault="003629FD" w:rsidP="003629FD">
      <w:pPr>
        <w:jc w:val="both"/>
        <w:rPr>
          <w:rFonts w:ascii="Tahoma" w:hAnsi="Tahoma" w:cs="Tahoma"/>
        </w:rPr>
      </w:pPr>
      <w:r>
        <w:rPr>
          <w:rFonts w:ascii="Tahoma" w:hAnsi="Tahoma" w:cs="Tahoma"/>
        </w:rPr>
        <w:t xml:space="preserve">La poursuite du conflit armé et la hausse du prix de l’énergie qui en résulte </w:t>
      </w:r>
      <w:r w:rsidR="009D287B">
        <w:rPr>
          <w:rFonts w:ascii="Tahoma" w:hAnsi="Tahoma" w:cs="Tahoma"/>
        </w:rPr>
        <w:t>ont</w:t>
      </w:r>
      <w:r>
        <w:rPr>
          <w:rFonts w:ascii="Tahoma" w:hAnsi="Tahoma" w:cs="Tahoma"/>
        </w:rPr>
        <w:t xml:space="preserve"> amené les Banque</w:t>
      </w:r>
      <w:r w:rsidR="00F83301">
        <w:rPr>
          <w:rFonts w:ascii="Tahoma" w:hAnsi="Tahoma" w:cs="Tahoma"/>
        </w:rPr>
        <w:t>s</w:t>
      </w:r>
      <w:r>
        <w:rPr>
          <w:rFonts w:ascii="Tahoma" w:hAnsi="Tahoma" w:cs="Tahoma"/>
        </w:rPr>
        <w:t xml:space="preserve"> Centrale</w:t>
      </w:r>
      <w:r w:rsidR="00F83301">
        <w:rPr>
          <w:rFonts w:ascii="Tahoma" w:hAnsi="Tahoma" w:cs="Tahoma"/>
        </w:rPr>
        <w:t>s</w:t>
      </w:r>
      <w:r>
        <w:rPr>
          <w:rFonts w:ascii="Tahoma" w:hAnsi="Tahoma" w:cs="Tahoma"/>
        </w:rPr>
        <w:t xml:space="preserve"> occidentale</w:t>
      </w:r>
      <w:r w:rsidR="00F83301">
        <w:rPr>
          <w:rFonts w:ascii="Tahoma" w:hAnsi="Tahoma" w:cs="Tahoma"/>
        </w:rPr>
        <w:t>s</w:t>
      </w:r>
      <w:r>
        <w:rPr>
          <w:rFonts w:ascii="Tahoma" w:hAnsi="Tahoma" w:cs="Tahoma"/>
        </w:rPr>
        <w:t xml:space="preserve"> à revoir leurs prévisions d’inflation</w:t>
      </w:r>
      <w:r w:rsidR="00F83301">
        <w:rPr>
          <w:rFonts w:ascii="Tahoma" w:hAnsi="Tahoma" w:cs="Tahoma"/>
        </w:rPr>
        <w:t xml:space="preserve">. Certains investisseurs tablent maintenant sur </w:t>
      </w:r>
      <w:r w:rsidR="003E45E3">
        <w:rPr>
          <w:rFonts w:ascii="Tahoma" w:hAnsi="Tahoma" w:cs="Tahoma"/>
        </w:rPr>
        <w:t xml:space="preserve">des hausses </w:t>
      </w:r>
      <w:r w:rsidR="009D287B">
        <w:rPr>
          <w:rFonts w:ascii="Tahoma" w:hAnsi="Tahoma" w:cs="Tahoma"/>
        </w:rPr>
        <w:t>(</w:t>
      </w:r>
      <w:r w:rsidR="003E45E3">
        <w:rPr>
          <w:rFonts w:ascii="Tahoma" w:hAnsi="Tahoma" w:cs="Tahoma"/>
        </w:rPr>
        <w:t>selon les pays</w:t>
      </w:r>
      <w:r w:rsidR="009D287B">
        <w:rPr>
          <w:rFonts w:ascii="Tahoma" w:hAnsi="Tahoma" w:cs="Tahoma"/>
        </w:rPr>
        <w:t>)</w:t>
      </w:r>
      <w:r w:rsidR="003E45E3">
        <w:rPr>
          <w:rFonts w:ascii="Tahoma" w:hAnsi="Tahoma" w:cs="Tahoma"/>
        </w:rPr>
        <w:t xml:space="preserve"> </w:t>
      </w:r>
      <w:r w:rsidR="00FF3424">
        <w:rPr>
          <w:rFonts w:ascii="Tahoma" w:hAnsi="Tahoma" w:cs="Tahoma"/>
        </w:rPr>
        <w:t>dès</w:t>
      </w:r>
      <w:r w:rsidR="003E45E3">
        <w:rPr>
          <w:rFonts w:ascii="Tahoma" w:hAnsi="Tahoma" w:cs="Tahoma"/>
        </w:rPr>
        <w:t xml:space="preserve"> le mois d’avril.</w:t>
      </w:r>
    </w:p>
    <w:p w14:paraId="149D8F23" w14:textId="2E796C93" w:rsidR="003629FD" w:rsidRDefault="00440BA1" w:rsidP="003629FD">
      <w:pPr>
        <w:jc w:val="both"/>
        <w:rPr>
          <w:rFonts w:ascii="Tahoma" w:hAnsi="Tahoma" w:cs="Tahoma"/>
        </w:rPr>
      </w:pPr>
      <w:r>
        <w:rPr>
          <w:rFonts w:ascii="Tahoma" w:hAnsi="Tahoma" w:cs="Tahoma"/>
        </w:rPr>
        <w:t>En prévision d’éventuels hausse</w:t>
      </w:r>
      <w:r w:rsidR="009D287B">
        <w:rPr>
          <w:rFonts w:ascii="Tahoma" w:hAnsi="Tahoma" w:cs="Tahoma"/>
        </w:rPr>
        <w:t>s</w:t>
      </w:r>
      <w:r>
        <w:rPr>
          <w:rFonts w:ascii="Tahoma" w:hAnsi="Tahoma" w:cs="Tahoma"/>
        </w:rPr>
        <w:t xml:space="preserve"> de taux directeurs, le taux du 10 ans Euro </w:t>
      </w:r>
      <w:r w:rsidR="00497846">
        <w:rPr>
          <w:rFonts w:ascii="Tahoma" w:hAnsi="Tahoma" w:cs="Tahoma"/>
        </w:rPr>
        <w:t>est reparti à la hausse. Conséquence le contrat Bund qui matérialise le cours du 10 ans allemand est revenu dans un premier temps sur son support de long terme de 125.63. Par la suite le manque de visibilité quant à l’avenir des prix de l’énergie au cours de</w:t>
      </w:r>
      <w:r w:rsidR="00FF3424">
        <w:rPr>
          <w:rFonts w:ascii="Tahoma" w:hAnsi="Tahoma" w:cs="Tahoma"/>
        </w:rPr>
        <w:t>s</w:t>
      </w:r>
      <w:r w:rsidR="00497846">
        <w:rPr>
          <w:rFonts w:ascii="Tahoma" w:hAnsi="Tahoma" w:cs="Tahoma"/>
        </w:rPr>
        <w:t xml:space="preserve"> prochaines semaine</w:t>
      </w:r>
      <w:r w:rsidR="00FF3424">
        <w:rPr>
          <w:rFonts w:ascii="Tahoma" w:hAnsi="Tahoma" w:cs="Tahoma"/>
        </w:rPr>
        <w:t>s</w:t>
      </w:r>
      <w:r w:rsidR="00497846">
        <w:rPr>
          <w:rFonts w:ascii="Tahoma" w:hAnsi="Tahoma" w:cs="Tahoma"/>
        </w:rPr>
        <w:t xml:space="preserve"> a poussé les opérateurs à </w:t>
      </w:r>
      <w:r w:rsidR="006E640E">
        <w:rPr>
          <w:rFonts w:ascii="Tahoma" w:hAnsi="Tahoma" w:cs="Tahoma"/>
        </w:rPr>
        <w:t xml:space="preserve">privilégier </w:t>
      </w:r>
      <w:r w:rsidR="009D287B">
        <w:rPr>
          <w:rFonts w:ascii="Tahoma" w:hAnsi="Tahoma" w:cs="Tahoma"/>
        </w:rPr>
        <w:t>l</w:t>
      </w:r>
      <w:r w:rsidR="006E640E">
        <w:rPr>
          <w:rFonts w:ascii="Tahoma" w:hAnsi="Tahoma" w:cs="Tahoma"/>
        </w:rPr>
        <w:t>es positions shorts.</w:t>
      </w:r>
    </w:p>
    <w:p w14:paraId="0532A92B" w14:textId="30A3E69D" w:rsidR="006E640E" w:rsidRDefault="006E640E" w:rsidP="003629FD">
      <w:pPr>
        <w:jc w:val="both"/>
        <w:rPr>
          <w:rFonts w:ascii="Tahoma" w:hAnsi="Tahoma" w:cs="Tahoma"/>
        </w:rPr>
      </w:pPr>
      <w:r>
        <w:rPr>
          <w:rFonts w:ascii="Tahoma" w:hAnsi="Tahoma" w:cs="Tahoma"/>
        </w:rPr>
        <w:t xml:space="preserve">Techniquement la cassure de 125.63 nous </w:t>
      </w:r>
      <w:r w:rsidR="00FF3424">
        <w:rPr>
          <w:rFonts w:ascii="Tahoma" w:hAnsi="Tahoma" w:cs="Tahoma"/>
        </w:rPr>
        <w:t>amène</w:t>
      </w:r>
      <w:r>
        <w:rPr>
          <w:rFonts w:ascii="Tahoma" w:hAnsi="Tahoma" w:cs="Tahoma"/>
        </w:rPr>
        <w:t xml:space="preserve"> à envisager la cible suivante située sur 120.2</w:t>
      </w:r>
      <w:r w:rsidR="00751C52">
        <w:rPr>
          <w:rFonts w:ascii="Tahoma" w:hAnsi="Tahoma" w:cs="Tahoma"/>
        </w:rPr>
        <w:t>1</w:t>
      </w:r>
      <w:r w:rsidR="00D1775E">
        <w:rPr>
          <w:rFonts w:ascii="Tahoma" w:hAnsi="Tahoma" w:cs="Tahoma"/>
        </w:rPr>
        <w:t xml:space="preserve">. Elle </w:t>
      </w:r>
      <w:r>
        <w:rPr>
          <w:rFonts w:ascii="Tahoma" w:hAnsi="Tahoma" w:cs="Tahoma"/>
        </w:rPr>
        <w:t>représente un plat mensuel de KS passée.</w:t>
      </w:r>
      <w:r w:rsidR="00CD366B">
        <w:rPr>
          <w:rFonts w:ascii="Tahoma" w:hAnsi="Tahoma" w:cs="Tahoma"/>
        </w:rPr>
        <w:t xml:space="preserve"> </w:t>
      </w:r>
      <w:r w:rsidR="00D1775E">
        <w:rPr>
          <w:rFonts w:ascii="Tahoma" w:hAnsi="Tahoma" w:cs="Tahoma"/>
        </w:rPr>
        <w:t xml:space="preserve">En équivalent taux et avec une </w:t>
      </w:r>
      <w:r w:rsidR="00CD366B">
        <w:rPr>
          <w:rFonts w:ascii="Tahoma" w:hAnsi="Tahoma" w:cs="Tahoma"/>
        </w:rPr>
        <w:t xml:space="preserve"> </w:t>
      </w:r>
      <w:r w:rsidR="00FF3424">
        <w:rPr>
          <w:rFonts w:ascii="Tahoma" w:hAnsi="Tahoma" w:cs="Tahoma"/>
        </w:rPr>
        <w:t>clôture</w:t>
      </w:r>
      <w:r w:rsidR="00CD366B">
        <w:rPr>
          <w:rFonts w:ascii="Tahoma" w:hAnsi="Tahoma" w:cs="Tahoma"/>
        </w:rPr>
        <w:t xml:space="preserve"> </w:t>
      </w:r>
      <w:r w:rsidR="00D1775E">
        <w:rPr>
          <w:rFonts w:ascii="Tahoma" w:hAnsi="Tahoma" w:cs="Tahoma"/>
        </w:rPr>
        <w:t xml:space="preserve">de </w:t>
      </w:r>
      <w:r w:rsidR="00CD366B">
        <w:rPr>
          <w:rFonts w:ascii="Tahoma" w:hAnsi="Tahoma" w:cs="Tahoma"/>
        </w:rPr>
        <w:t>vendredi à 3.04%, le taux du 10 ans allemand devrait venir chercher le niveau des 3.60%/3.65%</w:t>
      </w:r>
      <w:r w:rsidR="00031600">
        <w:rPr>
          <w:rFonts w:ascii="Tahoma" w:hAnsi="Tahoma" w:cs="Tahoma"/>
        </w:rPr>
        <w:t>.</w:t>
      </w:r>
    </w:p>
    <w:p w14:paraId="327B1C81" w14:textId="014C4E7D" w:rsidR="00827BD6" w:rsidRDefault="00827BD6" w:rsidP="003629FD">
      <w:pPr>
        <w:jc w:val="both"/>
        <w:rPr>
          <w:rFonts w:ascii="Tahoma" w:hAnsi="Tahoma" w:cs="Tahoma"/>
        </w:rPr>
      </w:pPr>
      <w:r>
        <w:rPr>
          <w:rFonts w:ascii="Tahoma" w:hAnsi="Tahoma" w:cs="Tahoma"/>
        </w:rPr>
        <w:t xml:space="preserve">L’indicateur technique donne un marché survendu alors que les prix sont revenus coller à la TS pour enfoncer le support de 125.63. Une poursuite de la baisse reste </w:t>
      </w:r>
      <w:r w:rsidR="00AE3EFB">
        <w:rPr>
          <w:rFonts w:ascii="Tahoma" w:hAnsi="Tahoma" w:cs="Tahoma"/>
        </w:rPr>
        <w:t xml:space="preserve">tout de </w:t>
      </w:r>
      <w:r w:rsidR="008F11FE">
        <w:rPr>
          <w:rFonts w:ascii="Tahoma" w:hAnsi="Tahoma" w:cs="Tahoma"/>
        </w:rPr>
        <w:t>même</w:t>
      </w:r>
      <w:r w:rsidR="00AE3EFB">
        <w:rPr>
          <w:rFonts w:ascii="Tahoma" w:hAnsi="Tahoma" w:cs="Tahoma"/>
        </w:rPr>
        <w:t xml:space="preserve"> </w:t>
      </w:r>
      <w:r>
        <w:rPr>
          <w:rFonts w:ascii="Tahoma" w:hAnsi="Tahoma" w:cs="Tahoma"/>
        </w:rPr>
        <w:t>envisageable.</w:t>
      </w:r>
    </w:p>
    <w:p w14:paraId="04AB8B91" w14:textId="46886464" w:rsidR="00827BD6" w:rsidRDefault="00827BD6" w:rsidP="003629FD">
      <w:pPr>
        <w:jc w:val="both"/>
        <w:rPr>
          <w:rFonts w:ascii="Tahoma" w:hAnsi="Tahoma" w:cs="Tahoma"/>
        </w:rPr>
      </w:pPr>
      <w:r>
        <w:rPr>
          <w:rFonts w:ascii="Tahoma" w:hAnsi="Tahoma" w:cs="Tahoma"/>
        </w:rPr>
        <w:t xml:space="preserve">La dernière bougie noire, après un début de semaine sans grande conviction, </w:t>
      </w:r>
      <w:r w:rsidR="00FF3424">
        <w:rPr>
          <w:rFonts w:ascii="Tahoma" w:hAnsi="Tahoma" w:cs="Tahoma"/>
        </w:rPr>
        <w:t>clôture</w:t>
      </w:r>
      <w:r w:rsidR="00423D63">
        <w:rPr>
          <w:rFonts w:ascii="Tahoma" w:hAnsi="Tahoma" w:cs="Tahoma"/>
        </w:rPr>
        <w:t xml:space="preserve"> sous le support. Sa taille, la plus importante de la semaine </w:t>
      </w:r>
      <w:r w:rsidR="004C2AA8">
        <w:rPr>
          <w:rFonts w:ascii="Tahoma" w:hAnsi="Tahoma" w:cs="Tahoma"/>
        </w:rPr>
        <w:t>traduit un contexte favorable aux baissiers.</w:t>
      </w:r>
    </w:p>
    <w:p w14:paraId="6456B2AC" w14:textId="77777777" w:rsidR="00A444C0" w:rsidRDefault="00A444C0" w:rsidP="00B41C02">
      <w:pPr>
        <w:jc w:val="both"/>
        <w:rPr>
          <w:rFonts w:ascii="Tahoma" w:hAnsi="Tahoma" w:cs="Tahoma"/>
        </w:rPr>
      </w:pPr>
    </w:p>
    <w:p w14:paraId="23604B11" w14:textId="77777777" w:rsidR="00A444C0" w:rsidRPr="00041E45" w:rsidRDefault="00A444C0" w:rsidP="00A444C0">
      <w:pPr>
        <w:jc w:val="both"/>
        <w:rPr>
          <w:rFonts w:ascii="Tahoma" w:hAnsi="Tahoma" w:cs="Tahoma"/>
          <w:sz w:val="32"/>
          <w:szCs w:val="32"/>
          <w:u w:val="single"/>
        </w:rPr>
      </w:pPr>
      <w:r w:rsidRPr="00041E45">
        <w:rPr>
          <w:rFonts w:ascii="Tahoma" w:hAnsi="Tahoma" w:cs="Tahoma"/>
          <w:sz w:val="32"/>
          <w:szCs w:val="32"/>
          <w:u w:val="single"/>
        </w:rPr>
        <w:t>Week</w:t>
      </w:r>
    </w:p>
    <w:p w14:paraId="402C9A9A" w14:textId="6C7063B9" w:rsidR="00A444C0" w:rsidRDefault="003629FD" w:rsidP="00A444C0">
      <w:pPr>
        <w:jc w:val="both"/>
        <w:rPr>
          <w:rFonts w:ascii="Tahoma" w:hAnsi="Tahoma" w:cs="Tahoma"/>
        </w:rPr>
      </w:pPr>
      <w:r>
        <w:rPr>
          <w:noProof/>
        </w:rPr>
        <w:drawing>
          <wp:inline distT="0" distB="0" distL="0" distR="0" wp14:anchorId="7C3B7F70" wp14:editId="52A1F28A">
            <wp:extent cx="5760720" cy="4320540"/>
            <wp:effectExtent l="0" t="0" r="0" b="3810"/>
            <wp:docPr id="932298505"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0ECE3B39" w14:textId="492E20E5" w:rsidR="00601792" w:rsidRDefault="00601792" w:rsidP="00601792">
      <w:pPr>
        <w:spacing w:after="0"/>
        <w:jc w:val="both"/>
        <w:rPr>
          <w:rFonts w:ascii="Tahoma" w:hAnsi="Tahoma" w:cs="Tahoma"/>
        </w:rPr>
      </w:pPr>
      <w:r>
        <w:rPr>
          <w:rFonts w:ascii="Tahoma" w:hAnsi="Tahoma" w:cs="Tahoma"/>
        </w:rPr>
        <w:t xml:space="preserve">Mes analyses précédentes allaient plutôt dans le sens d’une consolidation ou d’une hausse des cours. Le contexte actuel </w:t>
      </w:r>
      <w:r w:rsidR="009B61CB">
        <w:rPr>
          <w:rFonts w:ascii="Tahoma" w:hAnsi="Tahoma" w:cs="Tahoma"/>
        </w:rPr>
        <w:t>issu</w:t>
      </w:r>
      <w:r>
        <w:rPr>
          <w:rFonts w:ascii="Tahoma" w:hAnsi="Tahoma" w:cs="Tahoma"/>
        </w:rPr>
        <w:t xml:space="preserve"> d’éléments extérieurs totalement imprévisibles m’</w:t>
      </w:r>
      <w:r w:rsidR="00FF3424">
        <w:rPr>
          <w:rFonts w:ascii="Tahoma" w:hAnsi="Tahoma" w:cs="Tahoma"/>
        </w:rPr>
        <w:t>amène</w:t>
      </w:r>
      <w:r>
        <w:rPr>
          <w:rFonts w:ascii="Tahoma" w:hAnsi="Tahoma" w:cs="Tahoma"/>
        </w:rPr>
        <w:t xml:space="preserve"> à revoir </w:t>
      </w:r>
      <w:r w:rsidR="009B61CB">
        <w:rPr>
          <w:rFonts w:ascii="Tahoma" w:hAnsi="Tahoma" w:cs="Tahoma"/>
        </w:rPr>
        <w:t>c</w:t>
      </w:r>
      <w:r>
        <w:rPr>
          <w:rFonts w:ascii="Tahoma" w:hAnsi="Tahoma" w:cs="Tahoma"/>
        </w:rPr>
        <w:t xml:space="preserve">e point de vue où le scénario de baisse pouvait </w:t>
      </w:r>
      <w:r w:rsidR="00FF3424">
        <w:rPr>
          <w:rFonts w:ascii="Tahoma" w:hAnsi="Tahoma" w:cs="Tahoma"/>
        </w:rPr>
        <w:t>être</w:t>
      </w:r>
      <w:r>
        <w:rPr>
          <w:rFonts w:ascii="Tahoma" w:hAnsi="Tahoma" w:cs="Tahoma"/>
        </w:rPr>
        <w:t xml:space="preserve"> totalement écarté de l’analyse.</w:t>
      </w:r>
    </w:p>
    <w:p w14:paraId="18C2A851" w14:textId="640A7E02" w:rsidR="00601792" w:rsidRDefault="00601792" w:rsidP="00601792">
      <w:pPr>
        <w:jc w:val="both"/>
        <w:rPr>
          <w:rFonts w:ascii="Tahoma" w:hAnsi="Tahoma" w:cs="Tahoma"/>
        </w:rPr>
      </w:pPr>
      <w:r>
        <w:rPr>
          <w:rFonts w:ascii="Tahoma" w:hAnsi="Tahoma" w:cs="Tahoma"/>
        </w:rPr>
        <w:t xml:space="preserve">Mais attention autant la baisse a été rapide et soutenue, </w:t>
      </w:r>
      <w:r w:rsidR="009B61CB">
        <w:rPr>
          <w:rFonts w:ascii="Tahoma" w:hAnsi="Tahoma" w:cs="Tahoma"/>
        </w:rPr>
        <w:t xml:space="preserve">autant </w:t>
      </w:r>
      <w:r>
        <w:rPr>
          <w:rFonts w:ascii="Tahoma" w:hAnsi="Tahoma" w:cs="Tahoma"/>
        </w:rPr>
        <w:t>une bonne nouvelle pour les marchés financiers devrait avoir pour impact une forte hausse des cours.</w:t>
      </w:r>
    </w:p>
    <w:p w14:paraId="00769237" w14:textId="0B16F583" w:rsidR="00A444C0" w:rsidRDefault="00CE35B1" w:rsidP="00A444C0">
      <w:pPr>
        <w:jc w:val="both"/>
        <w:rPr>
          <w:rFonts w:ascii="Tahoma" w:hAnsi="Tahoma" w:cs="Tahoma"/>
        </w:rPr>
      </w:pPr>
      <w:r>
        <w:rPr>
          <w:rFonts w:ascii="Tahoma" w:hAnsi="Tahoma" w:cs="Tahoma"/>
        </w:rPr>
        <w:t xml:space="preserve">Les prix sont sortis pas le bas de la zone de consolidation </w:t>
      </w:r>
      <w:r w:rsidR="00FF3424">
        <w:rPr>
          <w:rFonts w:ascii="Tahoma" w:hAnsi="Tahoma" w:cs="Tahoma"/>
        </w:rPr>
        <w:t>horizontale</w:t>
      </w:r>
      <w:r>
        <w:rPr>
          <w:rFonts w:ascii="Tahoma" w:hAnsi="Tahoma" w:cs="Tahoma"/>
        </w:rPr>
        <w:t xml:space="preserve"> que j’avais défini entre 125.63 et 135.21.</w:t>
      </w:r>
    </w:p>
    <w:p w14:paraId="0CDF0D10" w14:textId="2B6FE7E8" w:rsidR="00CE35B1" w:rsidRDefault="00CE35B1" w:rsidP="00A444C0">
      <w:pPr>
        <w:jc w:val="both"/>
        <w:rPr>
          <w:rFonts w:ascii="Tahoma" w:hAnsi="Tahoma" w:cs="Tahoma"/>
        </w:rPr>
      </w:pPr>
      <w:r>
        <w:rPr>
          <w:rFonts w:ascii="Tahoma" w:hAnsi="Tahoma" w:cs="Tahoma"/>
        </w:rPr>
        <w:t xml:space="preserve">Cette sortie </w:t>
      </w:r>
      <w:r w:rsidR="009B61CB">
        <w:rPr>
          <w:rFonts w:ascii="Tahoma" w:hAnsi="Tahoma" w:cs="Tahoma"/>
        </w:rPr>
        <w:t xml:space="preserve">validée par une </w:t>
      </w:r>
      <w:r w:rsidR="008F11FE">
        <w:rPr>
          <w:rFonts w:ascii="Tahoma" w:hAnsi="Tahoma" w:cs="Tahoma"/>
        </w:rPr>
        <w:t>clôture</w:t>
      </w:r>
      <w:r w:rsidR="009B61CB">
        <w:rPr>
          <w:rFonts w:ascii="Tahoma" w:hAnsi="Tahoma" w:cs="Tahoma"/>
        </w:rPr>
        <w:t xml:space="preserve">, </w:t>
      </w:r>
      <w:r>
        <w:rPr>
          <w:rFonts w:ascii="Tahoma" w:hAnsi="Tahoma" w:cs="Tahoma"/>
        </w:rPr>
        <w:t>place maintenant le marché dans un environnement favorable à une poursuite de la baisse tant que le contrat Bund se maintiendra sous l’ancien support.</w:t>
      </w:r>
    </w:p>
    <w:p w14:paraId="41F3719E" w14:textId="7B334EBB" w:rsidR="00751C52" w:rsidRDefault="00751C52" w:rsidP="00A444C0">
      <w:pPr>
        <w:jc w:val="both"/>
        <w:rPr>
          <w:rFonts w:ascii="Tahoma" w:hAnsi="Tahoma" w:cs="Tahoma"/>
        </w:rPr>
      </w:pPr>
      <w:r>
        <w:rPr>
          <w:rFonts w:ascii="Tahoma" w:hAnsi="Tahoma" w:cs="Tahoma"/>
        </w:rPr>
        <w:t xml:space="preserve">Il reste un dernier support avant l’objectif de 120.21 évoqué </w:t>
      </w:r>
      <w:r w:rsidR="00FF3424">
        <w:rPr>
          <w:rFonts w:ascii="Tahoma" w:hAnsi="Tahoma" w:cs="Tahoma"/>
        </w:rPr>
        <w:t>précédemment</w:t>
      </w:r>
      <w:r>
        <w:rPr>
          <w:rFonts w:ascii="Tahoma" w:hAnsi="Tahoma" w:cs="Tahoma"/>
        </w:rPr>
        <w:t>. En effet les bas récents de mars 2025 donne un point intermédiaire sur 124.64.</w:t>
      </w:r>
    </w:p>
    <w:p w14:paraId="69651562" w14:textId="144733D1" w:rsidR="009F78A2" w:rsidRDefault="009F78A2" w:rsidP="00A444C0">
      <w:pPr>
        <w:jc w:val="both"/>
        <w:rPr>
          <w:rFonts w:ascii="Tahoma" w:hAnsi="Tahoma" w:cs="Tahoma"/>
        </w:rPr>
      </w:pPr>
      <w:r>
        <w:rPr>
          <w:rFonts w:ascii="Tahoma" w:hAnsi="Tahoma" w:cs="Tahoma"/>
        </w:rPr>
        <w:t>Quoi qu’il en soit, les vendeurs dominent les échanges. Les mèches hautes de deux derniers chandeliers montrent que les acheteurs ne parviennent pas à faire face au courant vendeur</w:t>
      </w:r>
      <w:r w:rsidR="00590C79">
        <w:rPr>
          <w:rFonts w:ascii="Tahoma" w:hAnsi="Tahoma" w:cs="Tahoma"/>
        </w:rPr>
        <w:t xml:space="preserve"> plus actif</w:t>
      </w:r>
      <w:r>
        <w:rPr>
          <w:rFonts w:ascii="Tahoma" w:hAnsi="Tahoma" w:cs="Tahoma"/>
        </w:rPr>
        <w:t>. Cela donne une très faible probabil</w:t>
      </w:r>
      <w:r w:rsidR="00590C79">
        <w:rPr>
          <w:rFonts w:ascii="Tahoma" w:hAnsi="Tahoma" w:cs="Tahoma"/>
        </w:rPr>
        <w:t>ité de rebond</w:t>
      </w:r>
      <w:r w:rsidR="00490784">
        <w:rPr>
          <w:rFonts w:ascii="Tahoma" w:hAnsi="Tahoma" w:cs="Tahoma"/>
        </w:rPr>
        <w:t>.</w:t>
      </w:r>
      <w:r w:rsidR="00590C79">
        <w:rPr>
          <w:rFonts w:ascii="Tahoma" w:hAnsi="Tahoma" w:cs="Tahoma"/>
        </w:rPr>
        <w:t xml:space="preserve"> </w:t>
      </w:r>
    </w:p>
    <w:p w14:paraId="10BB9766" w14:textId="77777777" w:rsidR="00723F77" w:rsidRDefault="00723F77" w:rsidP="00041E45">
      <w:pPr>
        <w:jc w:val="both"/>
        <w:rPr>
          <w:rFonts w:ascii="Tahoma" w:hAnsi="Tahoma" w:cs="Tahoma"/>
        </w:rPr>
      </w:pPr>
    </w:p>
    <w:p w14:paraId="6E428007" w14:textId="2D8EFF20" w:rsidR="00EE6B93" w:rsidRDefault="00B94D71" w:rsidP="00041E45">
      <w:pPr>
        <w:jc w:val="both"/>
        <w:rPr>
          <w:rFonts w:ascii="Tahoma" w:hAnsi="Tahoma" w:cs="Tahoma"/>
        </w:rPr>
      </w:pPr>
      <w:r>
        <w:rPr>
          <w:rFonts w:ascii="Tahoma" w:hAnsi="Tahoma" w:cs="Tahoma"/>
          <w:u w:val="single"/>
        </w:rPr>
        <w:lastRenderedPageBreak/>
        <w:t>CONCLUSION</w:t>
      </w:r>
      <w:r>
        <w:rPr>
          <w:rFonts w:ascii="Tahoma" w:hAnsi="Tahoma" w:cs="Tahoma"/>
        </w:rPr>
        <w:t> :</w:t>
      </w:r>
      <w:r w:rsidR="00490784">
        <w:rPr>
          <w:rFonts w:ascii="Tahoma" w:hAnsi="Tahoma" w:cs="Tahoma"/>
        </w:rPr>
        <w:t xml:space="preserve"> Les craintes d’une reprise de l’inflation liée aux prix de </w:t>
      </w:r>
      <w:r w:rsidR="00FF3424">
        <w:rPr>
          <w:rFonts w:ascii="Tahoma" w:hAnsi="Tahoma" w:cs="Tahoma"/>
        </w:rPr>
        <w:t>l’énergie</w:t>
      </w:r>
      <w:r w:rsidR="00490784">
        <w:rPr>
          <w:rFonts w:ascii="Tahoma" w:hAnsi="Tahoma" w:cs="Tahoma"/>
        </w:rPr>
        <w:t xml:space="preserve"> </w:t>
      </w:r>
      <w:r w:rsidR="00F419A3">
        <w:rPr>
          <w:rFonts w:ascii="Tahoma" w:hAnsi="Tahoma" w:cs="Tahoma"/>
        </w:rPr>
        <w:t>s’est traduit par une remontée des taux obligataires soit une baisse des cours. Ainsi le contrat Bund 10 ans est venu s’établir sous son support de moyen terme, sortant ainsi d’une longue période de consolidation horizontale</w:t>
      </w:r>
      <w:r w:rsidR="00B95A3D">
        <w:rPr>
          <w:rFonts w:ascii="Tahoma" w:hAnsi="Tahoma" w:cs="Tahoma"/>
        </w:rPr>
        <w:t>. L’objectif se situe</w:t>
      </w:r>
      <w:r w:rsidR="00CF148C">
        <w:rPr>
          <w:rFonts w:ascii="Tahoma" w:hAnsi="Tahoma" w:cs="Tahoma"/>
        </w:rPr>
        <w:t>ra</w:t>
      </w:r>
      <w:r w:rsidR="00B95A3D">
        <w:rPr>
          <w:rFonts w:ascii="Tahoma" w:hAnsi="Tahoma" w:cs="Tahoma"/>
        </w:rPr>
        <w:t xml:space="preserve"> sur 120.21 </w:t>
      </w:r>
      <w:r w:rsidR="00CF148C">
        <w:rPr>
          <w:rFonts w:ascii="Tahoma" w:hAnsi="Tahoma" w:cs="Tahoma"/>
        </w:rPr>
        <w:t xml:space="preserve">tant que le marché se maintiendra sous l’ancien support de 125.63 </w:t>
      </w:r>
    </w:p>
    <w:p w14:paraId="2E975A96" w14:textId="77777777" w:rsidR="00EE6B93" w:rsidRDefault="00EE6B93" w:rsidP="00041E45">
      <w:pPr>
        <w:jc w:val="both"/>
        <w:rPr>
          <w:rFonts w:ascii="Tahoma" w:hAnsi="Tahoma" w:cs="Tahoma"/>
        </w:rPr>
      </w:pPr>
    </w:p>
    <w:p w14:paraId="01260563" w14:textId="4380D793" w:rsidR="00E3727C" w:rsidRPr="00EE6B93" w:rsidRDefault="00EE6B93" w:rsidP="00041E45">
      <w:pPr>
        <w:jc w:val="both"/>
        <w:rPr>
          <w:rFonts w:ascii="Tahoma" w:hAnsi="Tahoma" w:cs="Tahoma"/>
          <w:b/>
          <w:bCs/>
          <w:sz w:val="28"/>
          <w:szCs w:val="28"/>
          <w:u w:val="single"/>
        </w:rPr>
      </w:pPr>
      <w:r>
        <w:rPr>
          <w:rFonts w:ascii="Tahoma" w:hAnsi="Tahoma" w:cs="Tahoma"/>
        </w:rPr>
        <w:t xml:space="preserve">                                                                      </w:t>
      </w:r>
      <w:r w:rsidRPr="00EE6B93">
        <w:rPr>
          <w:rFonts w:ascii="Tahoma" w:hAnsi="Tahoma" w:cs="Tahoma"/>
          <w:b/>
          <w:bCs/>
          <w:sz w:val="28"/>
          <w:szCs w:val="28"/>
          <w:u w:val="single"/>
        </w:rPr>
        <w:t>ATTAL JEAN-LUC</w:t>
      </w:r>
    </w:p>
    <w:p w14:paraId="7ECBFD62" w14:textId="4026536A" w:rsidR="00723F77" w:rsidRDefault="00723F77" w:rsidP="00041E45">
      <w:pPr>
        <w:jc w:val="both"/>
        <w:rPr>
          <w:rFonts w:ascii="Tahoma" w:hAnsi="Tahoma" w:cs="Tahoma"/>
        </w:rPr>
      </w:pPr>
    </w:p>
    <w:p w14:paraId="195ADAF5" w14:textId="4D8EAD7D" w:rsidR="00EE6B93" w:rsidRDefault="00EE6B93" w:rsidP="00041E45">
      <w:pPr>
        <w:jc w:val="both"/>
        <w:rPr>
          <w:rFonts w:ascii="Tahoma" w:hAnsi="Tahoma" w:cs="Tahoma"/>
        </w:rPr>
      </w:pPr>
    </w:p>
    <w:p w14:paraId="75A26EFF" w14:textId="77777777" w:rsidR="00EE6B93" w:rsidRDefault="00EE6B93" w:rsidP="00041E45">
      <w:pPr>
        <w:jc w:val="both"/>
        <w:rPr>
          <w:rFonts w:ascii="Tahoma" w:hAnsi="Tahoma" w:cs="Tahoma"/>
        </w:rPr>
      </w:pPr>
    </w:p>
    <w:p w14:paraId="22FFB91E" w14:textId="77777777" w:rsidR="00723F77" w:rsidRPr="00723F77" w:rsidRDefault="00467005" w:rsidP="00723F77">
      <w:pPr>
        <w:jc w:val="both"/>
        <w:rPr>
          <w:rFonts w:ascii="Arial" w:eastAsia="Calibri" w:hAnsi="Arial" w:cs="Arial"/>
          <w:b/>
          <w:i/>
          <w:sz w:val="24"/>
          <w:szCs w:val="24"/>
          <w:lang w:eastAsia="fr-FR"/>
        </w:rPr>
      </w:pPr>
      <w:r>
        <w:rPr>
          <w:rFonts w:ascii="Tahoma" w:hAnsi="Tahoma" w:cs="Tahoma"/>
        </w:rPr>
        <w:t xml:space="preserve"> </w:t>
      </w:r>
      <w:r w:rsidR="00723F77" w:rsidRPr="00723F77">
        <w:rPr>
          <w:rFonts w:ascii="Arial" w:eastAsia="Calibri" w:hAnsi="Arial" w:cs="Arial"/>
          <w:b/>
          <w:i/>
          <w:color w:val="993366"/>
          <w:sz w:val="24"/>
          <w:szCs w:val="24"/>
          <w:lang w:eastAsia="fr-FR"/>
        </w:rPr>
        <w:t>TS (mauve)</w:t>
      </w:r>
      <w:r w:rsidR="00723F77" w:rsidRPr="00723F77">
        <w:rPr>
          <w:rFonts w:ascii="Arial" w:eastAsia="Calibri" w:hAnsi="Arial" w:cs="Arial"/>
          <w:b/>
          <w:i/>
          <w:sz w:val="24"/>
          <w:szCs w:val="24"/>
          <w:lang w:eastAsia="fr-FR"/>
        </w:rPr>
        <w:t xml:space="preserve"> =  </w:t>
      </w:r>
      <w:r w:rsidR="00723F77" w:rsidRPr="00723F77">
        <w:rPr>
          <w:rFonts w:ascii="Arial" w:eastAsia="Calibri" w:hAnsi="Arial" w:cs="Arial"/>
          <w:b/>
          <w:i/>
          <w:sz w:val="24"/>
          <w:szCs w:val="24"/>
          <w:u w:val="single"/>
          <w:lang w:eastAsia="fr-FR"/>
        </w:rPr>
        <w:t>plus haut + plus bas</w:t>
      </w:r>
      <w:r w:rsidR="00723F77" w:rsidRPr="00723F77">
        <w:rPr>
          <w:rFonts w:ascii="Arial" w:eastAsia="Calibri" w:hAnsi="Arial" w:cs="Arial"/>
          <w:b/>
          <w:i/>
          <w:sz w:val="24"/>
          <w:szCs w:val="24"/>
          <w:lang w:eastAsia="fr-FR"/>
        </w:rPr>
        <w:t xml:space="preserve">                    sur les 9 dernières périodes</w:t>
      </w:r>
    </w:p>
    <w:p w14:paraId="476D8B5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5087617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4B322C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008000"/>
          <w:sz w:val="24"/>
          <w:szCs w:val="24"/>
          <w:lang w:eastAsia="fr-FR"/>
        </w:rPr>
        <w:t>KS (vert)</w:t>
      </w:r>
      <w:r w:rsidRPr="00723F77">
        <w:rPr>
          <w:rFonts w:ascii="Arial" w:eastAsia="Calibri" w:hAnsi="Arial" w:cs="Arial"/>
          <w:b/>
          <w:i/>
          <w:sz w:val="24"/>
          <w:szCs w:val="24"/>
          <w:lang w:eastAsia="fr-FR"/>
        </w:rPr>
        <w:t xml:space="preserv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26 dernières périodes</w:t>
      </w:r>
    </w:p>
    <w:p w14:paraId="1749A1CE" w14:textId="2AA954BF" w:rsid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3D24FC8E" w14:textId="77777777" w:rsidR="00E3727C" w:rsidRPr="00723F77" w:rsidRDefault="00E3727C" w:rsidP="00723F77">
      <w:pPr>
        <w:spacing w:after="0" w:line="240" w:lineRule="auto"/>
        <w:jc w:val="both"/>
        <w:rPr>
          <w:rFonts w:ascii="Arial" w:eastAsia="Calibri" w:hAnsi="Arial" w:cs="Arial"/>
          <w:b/>
          <w:i/>
          <w:sz w:val="24"/>
          <w:szCs w:val="24"/>
          <w:lang w:eastAsia="fr-FR"/>
        </w:rPr>
      </w:pPr>
    </w:p>
    <w:p w14:paraId="7ED12530"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FF6600"/>
          <w:sz w:val="24"/>
          <w:szCs w:val="24"/>
          <w:lang w:eastAsia="fr-FR"/>
        </w:rPr>
        <w:t>LS (orange)</w:t>
      </w:r>
      <w:r w:rsidRPr="00723F77">
        <w:rPr>
          <w:rFonts w:ascii="Arial" w:eastAsia="Calibri" w:hAnsi="Arial" w:cs="Arial"/>
          <w:b/>
          <w:i/>
          <w:sz w:val="24"/>
          <w:szCs w:val="24"/>
          <w:lang w:eastAsia="fr-FR"/>
        </w:rPr>
        <w:t xml:space="preserve"> = clôture                                           décalée de 26 périodes en arrière</w:t>
      </w:r>
    </w:p>
    <w:p w14:paraId="388C9BF9"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5486AE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SSA (bordure du nuage) =   </w:t>
      </w:r>
      <w:r w:rsidRPr="00723F77">
        <w:rPr>
          <w:rFonts w:ascii="Arial" w:eastAsia="Calibri" w:hAnsi="Arial" w:cs="Arial"/>
          <w:b/>
          <w:i/>
          <w:sz w:val="24"/>
          <w:szCs w:val="24"/>
          <w:u w:val="single"/>
          <w:lang w:eastAsia="fr-FR"/>
        </w:rPr>
        <w:t>TS + KS</w:t>
      </w:r>
      <w:r w:rsidRPr="00723F77">
        <w:rPr>
          <w:rFonts w:ascii="Arial" w:eastAsia="Calibri" w:hAnsi="Arial" w:cs="Arial"/>
          <w:b/>
          <w:i/>
          <w:sz w:val="24"/>
          <w:szCs w:val="24"/>
          <w:lang w:eastAsia="fr-FR"/>
        </w:rPr>
        <w:t xml:space="preserve">                   projetée 26 périodes en avant</w:t>
      </w:r>
    </w:p>
    <w:p w14:paraId="463A431D"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442D7A8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FC2D328" w14:textId="77777777" w:rsidR="00723F77" w:rsidRPr="00723F77" w:rsidRDefault="00723F77" w:rsidP="00723F77">
      <w:pPr>
        <w:spacing w:after="0" w:line="240" w:lineRule="auto"/>
        <w:jc w:val="both"/>
        <w:rPr>
          <w:rFonts w:ascii="Arial" w:eastAsia="Calibri" w:hAnsi="Arial" w:cs="Arial"/>
          <w:b/>
          <w:i/>
          <w:sz w:val="24"/>
          <w:szCs w:val="24"/>
          <w:u w:val="single"/>
          <w:lang w:eastAsia="fr-FR"/>
        </w:rPr>
      </w:pPr>
      <w:r w:rsidRPr="00723F77">
        <w:rPr>
          <w:rFonts w:ascii="Arial" w:eastAsia="Calibri" w:hAnsi="Arial" w:cs="Arial"/>
          <w:b/>
          <w:i/>
          <w:sz w:val="24"/>
          <w:szCs w:val="24"/>
          <w:lang w:eastAsia="fr-FR"/>
        </w:rPr>
        <w:t xml:space="preserve">SSB (bordure opposée du nuage)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52 dernières </w:t>
      </w:r>
    </w:p>
    <w:p w14:paraId="102B62E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6B7DE253"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7608303"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périodes, projetées 26 périodes en avant</w:t>
      </w:r>
    </w:p>
    <w:p w14:paraId="2C8EE37B"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B9B3E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6F37BD65"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u w:val="single"/>
          <w:lang w:eastAsia="fr-FR"/>
        </w:rPr>
        <w:t>Unités de temps</w:t>
      </w:r>
      <w:r w:rsidRPr="00723F77">
        <w:rPr>
          <w:rFonts w:ascii="Arial" w:eastAsia="Calibri" w:hAnsi="Arial" w:cs="Arial"/>
          <w:b/>
          <w:i/>
          <w:sz w:val="24"/>
          <w:szCs w:val="24"/>
          <w:lang w:eastAsia="fr-FR"/>
        </w:rPr>
        <w:t xml:space="preserve"> : </w:t>
      </w:r>
    </w:p>
    <w:p w14:paraId="4869BE0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BAC255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W: weekly</w:t>
      </w:r>
    </w:p>
    <w:p w14:paraId="3620DAF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57DDCB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D: daily</w:t>
      </w:r>
    </w:p>
    <w:p w14:paraId="6889839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E8B192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H4: base 4 heures  </w:t>
      </w:r>
    </w:p>
    <w:p w14:paraId="395064A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C31335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H1 : base horaire</w:t>
      </w:r>
    </w:p>
    <w:p w14:paraId="668BECBE"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1062831"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30M : base 30 minutes</w:t>
      </w:r>
    </w:p>
    <w:p w14:paraId="04409A4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03B719" w14:textId="3D6A3070" w:rsidR="00467005" w:rsidRPr="00467005" w:rsidRDefault="00467005" w:rsidP="00041E45">
      <w:pPr>
        <w:jc w:val="both"/>
        <w:rPr>
          <w:rFonts w:ascii="Tahoma" w:hAnsi="Tahoma" w:cs="Tahoma"/>
        </w:rPr>
      </w:pPr>
    </w:p>
    <w:sectPr w:rsidR="00467005" w:rsidRPr="004670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AB8"/>
    <w:rsid w:val="0002580A"/>
    <w:rsid w:val="00031600"/>
    <w:rsid w:val="00041E45"/>
    <w:rsid w:val="000524C5"/>
    <w:rsid w:val="000556C3"/>
    <w:rsid w:val="000833FB"/>
    <w:rsid w:val="00092058"/>
    <w:rsid w:val="000938CC"/>
    <w:rsid w:val="000B221E"/>
    <w:rsid w:val="000B7DFC"/>
    <w:rsid w:val="000C0DE4"/>
    <w:rsid w:val="000D4ED3"/>
    <w:rsid w:val="001018AD"/>
    <w:rsid w:val="00103ED4"/>
    <w:rsid w:val="00105B4E"/>
    <w:rsid w:val="00134AFA"/>
    <w:rsid w:val="00135766"/>
    <w:rsid w:val="0014687D"/>
    <w:rsid w:val="0015581D"/>
    <w:rsid w:val="00163C46"/>
    <w:rsid w:val="001705F4"/>
    <w:rsid w:val="00190995"/>
    <w:rsid w:val="001A4796"/>
    <w:rsid w:val="001D474B"/>
    <w:rsid w:val="001F650A"/>
    <w:rsid w:val="002003AD"/>
    <w:rsid w:val="002421FE"/>
    <w:rsid w:val="00262E25"/>
    <w:rsid w:val="00263ED0"/>
    <w:rsid w:val="002A1F8E"/>
    <w:rsid w:val="002B5CB1"/>
    <w:rsid w:val="002C0A31"/>
    <w:rsid w:val="002F54B0"/>
    <w:rsid w:val="00303214"/>
    <w:rsid w:val="0030643B"/>
    <w:rsid w:val="00337611"/>
    <w:rsid w:val="00340FD9"/>
    <w:rsid w:val="00352DD9"/>
    <w:rsid w:val="003629FD"/>
    <w:rsid w:val="003767E0"/>
    <w:rsid w:val="00397D3D"/>
    <w:rsid w:val="003A1A9F"/>
    <w:rsid w:val="003E45E3"/>
    <w:rsid w:val="0040171B"/>
    <w:rsid w:val="00423D63"/>
    <w:rsid w:val="00440BA1"/>
    <w:rsid w:val="00467005"/>
    <w:rsid w:val="00490784"/>
    <w:rsid w:val="00497846"/>
    <w:rsid w:val="004A2D2D"/>
    <w:rsid w:val="004A5154"/>
    <w:rsid w:val="004C2AA8"/>
    <w:rsid w:val="004E110C"/>
    <w:rsid w:val="004F48EE"/>
    <w:rsid w:val="00531928"/>
    <w:rsid w:val="005440A4"/>
    <w:rsid w:val="00546A5A"/>
    <w:rsid w:val="00566580"/>
    <w:rsid w:val="00567AF3"/>
    <w:rsid w:val="00583BC8"/>
    <w:rsid w:val="00590C79"/>
    <w:rsid w:val="00601792"/>
    <w:rsid w:val="00654380"/>
    <w:rsid w:val="00664BE1"/>
    <w:rsid w:val="006B055C"/>
    <w:rsid w:val="006E32BB"/>
    <w:rsid w:val="006E38E0"/>
    <w:rsid w:val="006E640E"/>
    <w:rsid w:val="00710599"/>
    <w:rsid w:val="00723F77"/>
    <w:rsid w:val="00744696"/>
    <w:rsid w:val="00751C52"/>
    <w:rsid w:val="00772067"/>
    <w:rsid w:val="0077545D"/>
    <w:rsid w:val="0079467D"/>
    <w:rsid w:val="007A0A4B"/>
    <w:rsid w:val="007A0E6C"/>
    <w:rsid w:val="007B1237"/>
    <w:rsid w:val="007B661D"/>
    <w:rsid w:val="007D19FF"/>
    <w:rsid w:val="007D2085"/>
    <w:rsid w:val="007D4181"/>
    <w:rsid w:val="007F6FFE"/>
    <w:rsid w:val="00827BD6"/>
    <w:rsid w:val="0083454A"/>
    <w:rsid w:val="00837B38"/>
    <w:rsid w:val="00896554"/>
    <w:rsid w:val="008A7407"/>
    <w:rsid w:val="008F10C2"/>
    <w:rsid w:val="008F11FE"/>
    <w:rsid w:val="00902D2F"/>
    <w:rsid w:val="00961FDF"/>
    <w:rsid w:val="00983B7D"/>
    <w:rsid w:val="009A37C2"/>
    <w:rsid w:val="009B61CB"/>
    <w:rsid w:val="009D287B"/>
    <w:rsid w:val="009F3AB8"/>
    <w:rsid w:val="009F78A2"/>
    <w:rsid w:val="00A11606"/>
    <w:rsid w:val="00A444C0"/>
    <w:rsid w:val="00A6401C"/>
    <w:rsid w:val="00A81AB7"/>
    <w:rsid w:val="00AA522C"/>
    <w:rsid w:val="00AE3EFB"/>
    <w:rsid w:val="00AE7F3B"/>
    <w:rsid w:val="00B34260"/>
    <w:rsid w:val="00B41C02"/>
    <w:rsid w:val="00B4335A"/>
    <w:rsid w:val="00B50E38"/>
    <w:rsid w:val="00B554B8"/>
    <w:rsid w:val="00B64EE0"/>
    <w:rsid w:val="00B94D71"/>
    <w:rsid w:val="00B95A3D"/>
    <w:rsid w:val="00BB0E32"/>
    <w:rsid w:val="00BB6D9D"/>
    <w:rsid w:val="00BC77A5"/>
    <w:rsid w:val="00BD3FC1"/>
    <w:rsid w:val="00C17ED7"/>
    <w:rsid w:val="00C41F15"/>
    <w:rsid w:val="00C70171"/>
    <w:rsid w:val="00C70A68"/>
    <w:rsid w:val="00C82E98"/>
    <w:rsid w:val="00CB17C9"/>
    <w:rsid w:val="00CC72FF"/>
    <w:rsid w:val="00CC7C21"/>
    <w:rsid w:val="00CD366B"/>
    <w:rsid w:val="00CE0886"/>
    <w:rsid w:val="00CE35B1"/>
    <w:rsid w:val="00CF148C"/>
    <w:rsid w:val="00CF2516"/>
    <w:rsid w:val="00CF6D63"/>
    <w:rsid w:val="00D1775E"/>
    <w:rsid w:val="00D23B28"/>
    <w:rsid w:val="00D46C8D"/>
    <w:rsid w:val="00DA1359"/>
    <w:rsid w:val="00DD23A4"/>
    <w:rsid w:val="00DE5444"/>
    <w:rsid w:val="00DF072F"/>
    <w:rsid w:val="00E32014"/>
    <w:rsid w:val="00E3727C"/>
    <w:rsid w:val="00EB58BA"/>
    <w:rsid w:val="00EE6B93"/>
    <w:rsid w:val="00EF2112"/>
    <w:rsid w:val="00F04A6E"/>
    <w:rsid w:val="00F04DEF"/>
    <w:rsid w:val="00F31070"/>
    <w:rsid w:val="00F419A3"/>
    <w:rsid w:val="00F53F10"/>
    <w:rsid w:val="00F636F8"/>
    <w:rsid w:val="00F83301"/>
    <w:rsid w:val="00FA2C8E"/>
    <w:rsid w:val="00FC1860"/>
    <w:rsid w:val="00FC7EA5"/>
    <w:rsid w:val="00FF3424"/>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EB49"/>
  <w15:chartTrackingRefBased/>
  <w15:docId w15:val="{8D958F43-A15C-4150-B920-BE8741EFE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488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1309F-AB94-4C63-8650-B80168C5A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633</TotalTime>
  <Pages>3</Pages>
  <Words>588</Words>
  <Characters>3235</Characters>
  <Application>Microsoft Office Word</Application>
  <DocSecurity>0</DocSecurity>
  <Lines>26</Lines>
  <Paragraphs>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jean-luc attal</dc:creator>
  <cp:keywords/>
  <dc:description/>
  <cp:lastModifiedBy>jean-luc attal</cp:lastModifiedBy>
  <cp:revision>127</cp:revision>
  <dcterms:created xsi:type="dcterms:W3CDTF">2021-11-25T09:44:00Z</dcterms:created>
  <dcterms:modified xsi:type="dcterms:W3CDTF">2026-03-21T16:27:00Z</dcterms:modified>
</cp:coreProperties>
</file>