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7E658F97" w:rsidR="00902D2F" w:rsidRPr="00041E45" w:rsidRDefault="00A444C0" w:rsidP="00B41C02">
      <w:pPr>
        <w:jc w:val="both"/>
        <w:rPr>
          <w:rFonts w:ascii="Tahoma" w:hAnsi="Tahoma" w:cs="Tahoma"/>
          <w:sz w:val="32"/>
          <w:szCs w:val="32"/>
          <w:u w:val="single"/>
        </w:rPr>
      </w:pPr>
      <w:r>
        <w:rPr>
          <w:rFonts w:ascii="Tahoma" w:hAnsi="Tahoma" w:cs="Tahoma"/>
          <w:sz w:val="32"/>
          <w:szCs w:val="32"/>
          <w:u w:val="single"/>
        </w:rPr>
        <w:t>Month</w:t>
      </w:r>
    </w:p>
    <w:p w14:paraId="2862B446" w14:textId="106F4FEB" w:rsidR="00902D2F" w:rsidRDefault="00ED0243" w:rsidP="00B41C02">
      <w:pPr>
        <w:jc w:val="both"/>
        <w:rPr>
          <w:rFonts w:ascii="Tahoma" w:hAnsi="Tahoma" w:cs="Tahoma"/>
        </w:rPr>
      </w:pPr>
      <w:r>
        <w:rPr>
          <w:noProof/>
        </w:rPr>
        <w:drawing>
          <wp:inline distT="0" distB="0" distL="0" distR="0" wp14:anchorId="74D91988" wp14:editId="1E19D8D7">
            <wp:extent cx="5760720" cy="4320540"/>
            <wp:effectExtent l="0" t="0" r="0" b="3810"/>
            <wp:docPr id="555701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550250C2" w:rsidR="00DF072F" w:rsidRDefault="003F48DE" w:rsidP="00B41C02">
      <w:pPr>
        <w:jc w:val="both"/>
        <w:rPr>
          <w:rFonts w:ascii="Tahoma" w:hAnsi="Tahoma" w:cs="Tahoma"/>
        </w:rPr>
      </w:pPr>
      <w:r>
        <w:rPr>
          <w:rFonts w:ascii="Tahoma" w:hAnsi="Tahoma" w:cs="Tahoma"/>
        </w:rPr>
        <w:t xml:space="preserve">Le </w:t>
      </w:r>
      <w:r w:rsidR="008A00FA">
        <w:rPr>
          <w:rFonts w:ascii="Tahoma" w:hAnsi="Tahoma" w:cs="Tahoma"/>
        </w:rPr>
        <w:t xml:space="preserve">contexte de long terme est baissier avec </w:t>
      </w:r>
      <w:r w:rsidR="009D64C0">
        <w:rPr>
          <w:rFonts w:ascii="Tahoma" w:hAnsi="Tahoma" w:cs="Tahoma"/>
        </w:rPr>
        <w:t>d</w:t>
      </w:r>
      <w:r w:rsidR="008A00FA">
        <w:rPr>
          <w:rFonts w:ascii="Tahoma" w:hAnsi="Tahoma" w:cs="Tahoma"/>
        </w:rPr>
        <w:t xml:space="preserve">es cours qui évoluent sous un nuage baissier et une LS qui </w:t>
      </w:r>
      <w:r w:rsidR="009D64C0">
        <w:rPr>
          <w:rFonts w:ascii="Tahoma" w:hAnsi="Tahoma" w:cs="Tahoma"/>
        </w:rPr>
        <w:t>se maintient</w:t>
      </w:r>
      <w:r w:rsidR="00941AF5">
        <w:rPr>
          <w:rFonts w:ascii="Tahoma" w:hAnsi="Tahoma" w:cs="Tahoma"/>
        </w:rPr>
        <w:t xml:space="preserve"> toujours</w:t>
      </w:r>
      <w:r w:rsidR="009D64C0">
        <w:rPr>
          <w:rFonts w:ascii="Tahoma" w:hAnsi="Tahoma" w:cs="Tahoma"/>
        </w:rPr>
        <w:t xml:space="preserve"> </w:t>
      </w:r>
      <w:r w:rsidR="008A00FA">
        <w:rPr>
          <w:rFonts w:ascii="Tahoma" w:hAnsi="Tahoma" w:cs="Tahoma"/>
        </w:rPr>
        <w:t>sous les prix.</w:t>
      </w:r>
    </w:p>
    <w:p w14:paraId="2588FC43" w14:textId="703BC5CE" w:rsidR="008A00FA" w:rsidRDefault="008A00FA" w:rsidP="00B41C02">
      <w:pPr>
        <w:jc w:val="both"/>
        <w:rPr>
          <w:rFonts w:ascii="Tahoma" w:hAnsi="Tahoma" w:cs="Tahoma"/>
        </w:rPr>
      </w:pPr>
      <w:r>
        <w:rPr>
          <w:rFonts w:ascii="Tahoma" w:hAnsi="Tahoma" w:cs="Tahoma"/>
        </w:rPr>
        <w:t>Sur cette unité de temps, les plats passés sont utilisés pour définir les supports et les résistances du marché.</w:t>
      </w:r>
    </w:p>
    <w:p w14:paraId="333E3202" w14:textId="5763E7F6" w:rsidR="008A00FA" w:rsidRDefault="008A00FA" w:rsidP="00B41C02">
      <w:pPr>
        <w:jc w:val="both"/>
        <w:rPr>
          <w:rFonts w:ascii="Tahoma" w:hAnsi="Tahoma" w:cs="Tahoma"/>
        </w:rPr>
      </w:pPr>
      <w:r>
        <w:rPr>
          <w:rFonts w:ascii="Tahoma" w:hAnsi="Tahoma" w:cs="Tahoma"/>
        </w:rPr>
        <w:t xml:space="preserve">Ainsi le contrat est revenu sur le plat de KS de 125.63 pour le dépasser et </w:t>
      </w:r>
      <w:r w:rsidR="00020025">
        <w:rPr>
          <w:rFonts w:ascii="Tahoma" w:hAnsi="Tahoma" w:cs="Tahoma"/>
        </w:rPr>
        <w:t>clôturer</w:t>
      </w:r>
      <w:r>
        <w:rPr>
          <w:rFonts w:ascii="Tahoma" w:hAnsi="Tahoma" w:cs="Tahoma"/>
        </w:rPr>
        <w:t xml:space="preserve"> le mois sur 125.39. </w:t>
      </w:r>
      <w:r w:rsidR="009B4A80">
        <w:rPr>
          <w:rFonts w:ascii="Tahoma" w:hAnsi="Tahoma" w:cs="Tahoma"/>
        </w:rPr>
        <w:t>Dans une logique d’inversion des polarités, cette rupture est aujourd’hui conditionnée par un maintien des cours sous 125.63</w:t>
      </w:r>
      <w:r w:rsidR="00941AF5">
        <w:rPr>
          <w:rFonts w:ascii="Tahoma" w:hAnsi="Tahoma" w:cs="Tahoma"/>
        </w:rPr>
        <w:t>. D</w:t>
      </w:r>
      <w:r w:rsidR="00020025">
        <w:rPr>
          <w:rFonts w:ascii="Tahoma" w:hAnsi="Tahoma" w:cs="Tahoma"/>
        </w:rPr>
        <w:t>errière</w:t>
      </w:r>
      <w:r w:rsidR="009B4A80">
        <w:rPr>
          <w:rFonts w:ascii="Tahoma" w:hAnsi="Tahoma" w:cs="Tahoma"/>
        </w:rPr>
        <w:t xml:space="preserve"> cette logique il y a tout un tas de raison</w:t>
      </w:r>
      <w:r w:rsidR="000D2501">
        <w:rPr>
          <w:rFonts w:ascii="Tahoma" w:hAnsi="Tahoma" w:cs="Tahoma"/>
        </w:rPr>
        <w:t>s</w:t>
      </w:r>
      <w:r w:rsidR="009B4A80">
        <w:rPr>
          <w:rFonts w:ascii="Tahoma" w:hAnsi="Tahoma" w:cs="Tahoma"/>
        </w:rPr>
        <w:t xml:space="preserve"> qui doit amener les vendeurs à s’activer à l’approche de l’ancien support.</w:t>
      </w:r>
    </w:p>
    <w:p w14:paraId="6B956D3A" w14:textId="584F5A15" w:rsidR="00E54C83" w:rsidRDefault="00E54C83" w:rsidP="00B41C02">
      <w:pPr>
        <w:jc w:val="both"/>
        <w:rPr>
          <w:rFonts w:ascii="Tahoma" w:hAnsi="Tahoma" w:cs="Tahoma"/>
        </w:rPr>
      </w:pPr>
      <w:r>
        <w:rPr>
          <w:rFonts w:ascii="Tahoma" w:hAnsi="Tahoma" w:cs="Tahoma"/>
        </w:rPr>
        <w:t>La KS s’est aplatie sur 129.</w:t>
      </w:r>
      <w:r w:rsidR="00934C61">
        <w:rPr>
          <w:rFonts w:ascii="Tahoma" w:hAnsi="Tahoma" w:cs="Tahoma"/>
        </w:rPr>
        <w:t>60. Elle le restera tant que le bas récent de 124.25 ne sera pas enfoncé.</w:t>
      </w:r>
      <w:r w:rsidR="00C43FD6">
        <w:rPr>
          <w:rFonts w:ascii="Tahoma" w:hAnsi="Tahoma" w:cs="Tahoma"/>
        </w:rPr>
        <w:t xml:space="preserve"> Son dépassement permettra de remettre en question le biais actuel favorable à une poursuite de la baisse. Un début de remise en cause de ce biais passera par un dépassement de 127.38</w:t>
      </w:r>
      <w:r w:rsidR="000E0B4F">
        <w:rPr>
          <w:rFonts w:ascii="Tahoma" w:hAnsi="Tahoma" w:cs="Tahoma"/>
        </w:rPr>
        <w:t>, point médian de dernier long chandelier noir</w:t>
      </w:r>
      <w:r w:rsidR="00941AF5">
        <w:rPr>
          <w:rFonts w:ascii="Tahoma" w:hAnsi="Tahoma" w:cs="Tahoma"/>
        </w:rPr>
        <w:t xml:space="preserve"> et point </w:t>
      </w:r>
      <w:r w:rsidR="000E0B4F">
        <w:rPr>
          <w:rFonts w:ascii="Tahoma" w:hAnsi="Tahoma" w:cs="Tahoma"/>
        </w:rPr>
        <w:t>sous lequel les baissiers continueront à dominer les échanges.</w:t>
      </w:r>
    </w:p>
    <w:p w14:paraId="6456B2AC" w14:textId="77777777" w:rsidR="00A444C0" w:rsidRDefault="00A444C0" w:rsidP="00B41C02">
      <w:pPr>
        <w:jc w:val="both"/>
        <w:rPr>
          <w:rFonts w:ascii="Tahoma" w:hAnsi="Tahoma" w:cs="Tahoma"/>
        </w:rPr>
      </w:pPr>
    </w:p>
    <w:p w14:paraId="29AB630E" w14:textId="77777777" w:rsidR="000A7BFF" w:rsidRDefault="000A7BFF" w:rsidP="00B41C02">
      <w:pPr>
        <w:jc w:val="both"/>
        <w:rPr>
          <w:rFonts w:ascii="Tahoma" w:hAnsi="Tahoma" w:cs="Tahoma"/>
        </w:rPr>
      </w:pPr>
    </w:p>
    <w:p w14:paraId="419438E7" w14:textId="77777777" w:rsidR="000A7BFF" w:rsidRDefault="000A7BFF" w:rsidP="00B41C02">
      <w:pPr>
        <w:jc w:val="both"/>
        <w:rPr>
          <w:rFonts w:ascii="Tahoma" w:hAnsi="Tahoma" w:cs="Tahoma"/>
        </w:rPr>
      </w:pP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lastRenderedPageBreak/>
        <w:t>Week</w:t>
      </w:r>
    </w:p>
    <w:p w14:paraId="402C9A9A" w14:textId="6A204B92" w:rsidR="00A444C0" w:rsidRDefault="00ED0243" w:rsidP="00A444C0">
      <w:pPr>
        <w:jc w:val="both"/>
        <w:rPr>
          <w:rFonts w:ascii="Tahoma" w:hAnsi="Tahoma" w:cs="Tahoma"/>
        </w:rPr>
      </w:pPr>
      <w:r>
        <w:rPr>
          <w:noProof/>
        </w:rPr>
        <w:drawing>
          <wp:inline distT="0" distB="0" distL="0" distR="0" wp14:anchorId="43801735" wp14:editId="048EE36A">
            <wp:extent cx="5760720" cy="4320540"/>
            <wp:effectExtent l="0" t="0" r="0" b="3810"/>
            <wp:docPr id="36045925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0769237" w14:textId="14463196" w:rsidR="00A444C0" w:rsidRDefault="00BF06B8" w:rsidP="00A444C0">
      <w:pPr>
        <w:jc w:val="both"/>
        <w:rPr>
          <w:rFonts w:ascii="Tahoma" w:hAnsi="Tahoma" w:cs="Tahoma"/>
        </w:rPr>
      </w:pPr>
      <w:r>
        <w:rPr>
          <w:rFonts w:ascii="Tahoma" w:hAnsi="Tahoma" w:cs="Tahoma"/>
        </w:rPr>
        <w:t xml:space="preserve">Comme nous le verrons plus en détail sur le court terme, le graphique hebdomadaire montre un début de retournement favorable à la hausse. </w:t>
      </w:r>
    </w:p>
    <w:p w14:paraId="0AFD4772" w14:textId="77777777" w:rsidR="001707F8" w:rsidRDefault="00BF06B8" w:rsidP="00A444C0">
      <w:pPr>
        <w:jc w:val="both"/>
        <w:rPr>
          <w:rFonts w:ascii="Tahoma" w:hAnsi="Tahoma" w:cs="Tahoma"/>
        </w:rPr>
      </w:pPr>
      <w:r>
        <w:rPr>
          <w:rFonts w:ascii="Tahoma" w:hAnsi="Tahoma" w:cs="Tahoma"/>
        </w:rPr>
        <w:t>Ainsi après avoir validé la cassure du support de 125.63 en données hebdomadaires pour toucher un bas à 124.25, les prix sont revenus sur l’ancien support</w:t>
      </w:r>
      <w:r w:rsidR="001707F8">
        <w:rPr>
          <w:rFonts w:ascii="Tahoma" w:hAnsi="Tahoma" w:cs="Tahoma"/>
        </w:rPr>
        <w:t>.</w:t>
      </w:r>
    </w:p>
    <w:p w14:paraId="3D6EC94B" w14:textId="77777777" w:rsidR="001707F8" w:rsidRDefault="001707F8" w:rsidP="00A444C0">
      <w:pPr>
        <w:jc w:val="both"/>
        <w:rPr>
          <w:rFonts w:ascii="Tahoma" w:hAnsi="Tahoma" w:cs="Tahoma"/>
        </w:rPr>
      </w:pPr>
      <w:r>
        <w:rPr>
          <w:rFonts w:ascii="Tahoma" w:hAnsi="Tahoma" w:cs="Tahoma"/>
        </w:rPr>
        <w:t>Le contexte est baissier sur cette unité de temps où prix et LS évoluent sous un nuage décroissant.</w:t>
      </w:r>
    </w:p>
    <w:p w14:paraId="4668A8A9" w14:textId="48702D2A" w:rsidR="001707F8" w:rsidRDefault="001707F8" w:rsidP="00A444C0">
      <w:pPr>
        <w:jc w:val="both"/>
        <w:rPr>
          <w:rFonts w:ascii="Tahoma" w:hAnsi="Tahoma" w:cs="Tahoma"/>
        </w:rPr>
      </w:pPr>
      <w:r>
        <w:rPr>
          <w:rFonts w:ascii="Tahoma" w:hAnsi="Tahoma" w:cs="Tahoma"/>
        </w:rPr>
        <w:t xml:space="preserve">Le contexte survendu peu expliquer le rebond des prix car du </w:t>
      </w:r>
      <w:r w:rsidR="00020025">
        <w:rPr>
          <w:rFonts w:ascii="Tahoma" w:hAnsi="Tahoma" w:cs="Tahoma"/>
        </w:rPr>
        <w:t>côté</w:t>
      </w:r>
      <w:r>
        <w:rPr>
          <w:rFonts w:ascii="Tahoma" w:hAnsi="Tahoma" w:cs="Tahoma"/>
        </w:rPr>
        <w:t xml:space="preserve"> de la géopolitique ou l’inflation (2 raisons majeures de la baisse des cours</w:t>
      </w:r>
      <w:r w:rsidR="000A7BFF">
        <w:rPr>
          <w:rFonts w:ascii="Tahoma" w:hAnsi="Tahoma" w:cs="Tahoma"/>
        </w:rPr>
        <w:t xml:space="preserve"> des actifs financiers</w:t>
      </w:r>
      <w:r>
        <w:rPr>
          <w:rFonts w:ascii="Tahoma" w:hAnsi="Tahoma" w:cs="Tahoma"/>
        </w:rPr>
        <w:t>) rien ne permet de penser que nous sommes en sortie de crise.</w:t>
      </w:r>
    </w:p>
    <w:p w14:paraId="4C90DA47" w14:textId="047DF51E" w:rsidR="00BF06B8" w:rsidRDefault="001707F8" w:rsidP="00A444C0">
      <w:pPr>
        <w:jc w:val="both"/>
        <w:rPr>
          <w:rFonts w:ascii="Tahoma" w:hAnsi="Tahoma" w:cs="Tahoma"/>
        </w:rPr>
      </w:pPr>
      <w:r>
        <w:rPr>
          <w:rFonts w:ascii="Tahoma" w:hAnsi="Tahoma" w:cs="Tahoma"/>
        </w:rPr>
        <w:t>La TS s’es</w:t>
      </w:r>
      <w:r w:rsidR="000A7BFF">
        <w:rPr>
          <w:rFonts w:ascii="Tahoma" w:hAnsi="Tahoma" w:cs="Tahoma"/>
        </w:rPr>
        <w:t>t</w:t>
      </w:r>
      <w:r>
        <w:rPr>
          <w:rFonts w:ascii="Tahoma" w:hAnsi="Tahoma" w:cs="Tahoma"/>
        </w:rPr>
        <w:t xml:space="preserve"> aplatie mais évolue toujours sous la KS. </w:t>
      </w:r>
      <w:r w:rsidR="000A7BFF">
        <w:rPr>
          <w:rFonts w:ascii="Tahoma" w:hAnsi="Tahoma" w:cs="Tahoma"/>
        </w:rPr>
        <w:t>Son</w:t>
      </w:r>
      <w:r>
        <w:rPr>
          <w:rFonts w:ascii="Tahoma" w:hAnsi="Tahoma" w:cs="Tahoma"/>
        </w:rPr>
        <w:t xml:space="preserve"> plat se poursuivra tant que le contrat se maintiendra entre le bas récent de 124.25 et le haut de 129.44 </w:t>
      </w:r>
      <w:r w:rsidR="000A7BFF">
        <w:rPr>
          <w:rFonts w:ascii="Tahoma" w:hAnsi="Tahoma" w:cs="Tahoma"/>
        </w:rPr>
        <w:t xml:space="preserve">de </w:t>
      </w:r>
      <w:r>
        <w:rPr>
          <w:rFonts w:ascii="Tahoma" w:hAnsi="Tahoma" w:cs="Tahoma"/>
        </w:rPr>
        <w:t>ces dernières semaines.</w:t>
      </w:r>
      <w:r w:rsidR="00BF06B8">
        <w:rPr>
          <w:rFonts w:ascii="Tahoma" w:hAnsi="Tahoma" w:cs="Tahoma"/>
        </w:rPr>
        <w:t xml:space="preserve"> </w:t>
      </w:r>
    </w:p>
    <w:p w14:paraId="374D1F17" w14:textId="0DF83C46" w:rsidR="00583BC8" w:rsidRDefault="0067589B" w:rsidP="00B41C02">
      <w:pPr>
        <w:jc w:val="both"/>
        <w:rPr>
          <w:rFonts w:ascii="Tahoma" w:hAnsi="Tahoma" w:cs="Tahoma"/>
        </w:rPr>
      </w:pPr>
      <w:r>
        <w:rPr>
          <w:rFonts w:ascii="Tahoma" w:hAnsi="Tahoma" w:cs="Tahoma"/>
        </w:rPr>
        <w:t>Quant à la KS</w:t>
      </w:r>
      <w:r w:rsidR="00057947">
        <w:rPr>
          <w:rFonts w:ascii="Tahoma" w:hAnsi="Tahoma" w:cs="Tahoma"/>
        </w:rPr>
        <w:t>,</w:t>
      </w:r>
      <w:r>
        <w:rPr>
          <w:rFonts w:ascii="Tahoma" w:hAnsi="Tahoma" w:cs="Tahoma"/>
        </w:rPr>
        <w:t xml:space="preserve"> son plat de 127.02 servira de résistance intermédiaire </w:t>
      </w:r>
      <w:r w:rsidR="00A3516E">
        <w:rPr>
          <w:rFonts w:ascii="Tahoma" w:hAnsi="Tahoma" w:cs="Tahoma"/>
        </w:rPr>
        <w:t>en dépassement de 125.63.</w:t>
      </w:r>
    </w:p>
    <w:p w14:paraId="46420A25" w14:textId="3222010C" w:rsidR="00EE00CC" w:rsidRDefault="00A3516E" w:rsidP="00B41C02">
      <w:pPr>
        <w:jc w:val="both"/>
        <w:rPr>
          <w:rFonts w:ascii="Tahoma" w:hAnsi="Tahoma" w:cs="Tahoma"/>
        </w:rPr>
      </w:pPr>
      <w:r>
        <w:rPr>
          <w:rFonts w:ascii="Tahoma" w:hAnsi="Tahoma" w:cs="Tahoma"/>
        </w:rPr>
        <w:t xml:space="preserve">Le dernier chandelier en avalement haussier est positif </w:t>
      </w:r>
      <w:r w:rsidR="00EE00CC">
        <w:rPr>
          <w:rFonts w:ascii="Tahoma" w:hAnsi="Tahoma" w:cs="Tahoma"/>
        </w:rPr>
        <w:t>mais il y a de forte chance qu’</w:t>
      </w:r>
      <w:r w:rsidR="000A7BFF">
        <w:rPr>
          <w:rFonts w:ascii="Tahoma" w:hAnsi="Tahoma" w:cs="Tahoma"/>
        </w:rPr>
        <w:t>il</w:t>
      </w:r>
      <w:r w:rsidR="00EE00CC">
        <w:rPr>
          <w:rFonts w:ascii="Tahoma" w:hAnsi="Tahoma" w:cs="Tahoma"/>
        </w:rPr>
        <w:t xml:space="preserve"> résulte du contexte survendu</w:t>
      </w:r>
      <w:r w:rsidR="00A935DD">
        <w:rPr>
          <w:rFonts w:ascii="Tahoma" w:hAnsi="Tahoma" w:cs="Tahoma"/>
        </w:rPr>
        <w:t>. C</w:t>
      </w:r>
      <w:r w:rsidR="000A7BFF">
        <w:rPr>
          <w:rFonts w:ascii="Tahoma" w:hAnsi="Tahoma" w:cs="Tahoma"/>
        </w:rPr>
        <w:t>ette structure positive</w:t>
      </w:r>
      <w:r w:rsidR="00EE00CC">
        <w:rPr>
          <w:rFonts w:ascii="Tahoma" w:hAnsi="Tahoma" w:cs="Tahoma"/>
        </w:rPr>
        <w:t xml:space="preserve"> aura</w:t>
      </w:r>
      <w:r w:rsidR="00A935DD">
        <w:rPr>
          <w:rFonts w:ascii="Tahoma" w:hAnsi="Tahoma" w:cs="Tahoma"/>
        </w:rPr>
        <w:t xml:space="preserve"> alors</w:t>
      </w:r>
      <w:r w:rsidR="00EE00CC">
        <w:rPr>
          <w:rFonts w:ascii="Tahoma" w:hAnsi="Tahoma" w:cs="Tahoma"/>
        </w:rPr>
        <w:t xml:space="preserve"> moins d’impact sur les prix. En effet, sans cherche</w:t>
      </w:r>
      <w:r w:rsidR="00A935DD">
        <w:rPr>
          <w:rFonts w:ascii="Tahoma" w:hAnsi="Tahoma" w:cs="Tahoma"/>
        </w:rPr>
        <w:t>r</w:t>
      </w:r>
      <w:r w:rsidR="00EE00CC">
        <w:rPr>
          <w:rFonts w:ascii="Tahoma" w:hAnsi="Tahoma" w:cs="Tahoma"/>
        </w:rPr>
        <w:t xml:space="preserve"> à </w:t>
      </w:r>
      <w:r w:rsidR="00020025">
        <w:rPr>
          <w:rFonts w:ascii="Tahoma" w:hAnsi="Tahoma" w:cs="Tahoma"/>
        </w:rPr>
        <w:t>être</w:t>
      </w:r>
      <w:r w:rsidR="00EE00CC">
        <w:rPr>
          <w:rFonts w:ascii="Tahoma" w:hAnsi="Tahoma" w:cs="Tahoma"/>
        </w:rPr>
        <w:t xml:space="preserve"> dogmatique, un avalement haussier début</w:t>
      </w:r>
      <w:r w:rsidR="00A935DD">
        <w:rPr>
          <w:rFonts w:ascii="Tahoma" w:hAnsi="Tahoma" w:cs="Tahoma"/>
        </w:rPr>
        <w:t>e</w:t>
      </w:r>
      <w:r w:rsidR="00EE00CC">
        <w:rPr>
          <w:rFonts w:ascii="Tahoma" w:hAnsi="Tahoma" w:cs="Tahoma"/>
        </w:rPr>
        <w:t xml:space="preserve"> sous la </w:t>
      </w:r>
      <w:r w:rsidR="00020025">
        <w:rPr>
          <w:rFonts w:ascii="Tahoma" w:hAnsi="Tahoma" w:cs="Tahoma"/>
        </w:rPr>
        <w:t>clôture</w:t>
      </w:r>
      <w:r w:rsidR="00EE00CC">
        <w:rPr>
          <w:rFonts w:ascii="Tahoma" w:hAnsi="Tahoma" w:cs="Tahoma"/>
        </w:rPr>
        <w:t xml:space="preserve"> de la précédente bougie. </w:t>
      </w:r>
      <w:r w:rsidR="0028372D">
        <w:rPr>
          <w:rFonts w:ascii="Tahoma" w:hAnsi="Tahoma" w:cs="Tahoma"/>
        </w:rPr>
        <w:t>Cette ouverture en baisse</w:t>
      </w:r>
      <w:r w:rsidR="00A935DD">
        <w:rPr>
          <w:rFonts w:ascii="Tahoma" w:hAnsi="Tahoma" w:cs="Tahoma"/>
        </w:rPr>
        <w:t xml:space="preserve"> </w:t>
      </w:r>
      <w:r w:rsidR="00EE00CC">
        <w:rPr>
          <w:rFonts w:ascii="Tahoma" w:hAnsi="Tahoma" w:cs="Tahoma"/>
        </w:rPr>
        <w:t xml:space="preserve">montre </w:t>
      </w:r>
      <w:r w:rsidR="00A935DD">
        <w:rPr>
          <w:rFonts w:ascii="Tahoma" w:hAnsi="Tahoma" w:cs="Tahoma"/>
        </w:rPr>
        <w:t>la</w:t>
      </w:r>
      <w:r w:rsidR="00EE00CC">
        <w:rPr>
          <w:rFonts w:ascii="Tahoma" w:hAnsi="Tahoma" w:cs="Tahoma"/>
        </w:rPr>
        <w:t xml:space="preserve"> force du retournement</w:t>
      </w:r>
      <w:r w:rsidR="00A935DD">
        <w:rPr>
          <w:rFonts w:ascii="Tahoma" w:hAnsi="Tahoma" w:cs="Tahoma"/>
        </w:rPr>
        <w:t xml:space="preserve"> </w:t>
      </w:r>
      <w:r w:rsidR="0028372D">
        <w:rPr>
          <w:rFonts w:ascii="Tahoma" w:hAnsi="Tahoma" w:cs="Tahoma"/>
        </w:rPr>
        <w:t>avec</w:t>
      </w:r>
      <w:r w:rsidR="00A935DD">
        <w:rPr>
          <w:rFonts w:ascii="Tahoma" w:hAnsi="Tahoma" w:cs="Tahoma"/>
        </w:rPr>
        <w:t xml:space="preserve"> </w:t>
      </w:r>
      <w:r w:rsidR="0028372D">
        <w:rPr>
          <w:rFonts w:ascii="Tahoma" w:hAnsi="Tahoma" w:cs="Tahoma"/>
        </w:rPr>
        <w:t xml:space="preserve">des </w:t>
      </w:r>
      <w:r w:rsidR="00A935DD">
        <w:rPr>
          <w:rFonts w:ascii="Tahoma" w:hAnsi="Tahoma" w:cs="Tahoma"/>
        </w:rPr>
        <w:t>acheteurs</w:t>
      </w:r>
      <w:r w:rsidR="0028372D">
        <w:rPr>
          <w:rFonts w:ascii="Tahoma" w:hAnsi="Tahoma" w:cs="Tahoma"/>
        </w:rPr>
        <w:t xml:space="preserve"> confiants</w:t>
      </w:r>
      <w:r w:rsidR="00EE00CC">
        <w:rPr>
          <w:rFonts w:ascii="Tahoma" w:hAnsi="Tahoma" w:cs="Tahoma"/>
        </w:rPr>
        <w:t xml:space="preserve">. </w:t>
      </w:r>
      <w:r w:rsidR="00322CCD">
        <w:rPr>
          <w:rFonts w:ascii="Tahoma" w:hAnsi="Tahoma" w:cs="Tahoma"/>
        </w:rPr>
        <w:t xml:space="preserve">Ici, l’ouverture de la dernière chandelle </w:t>
      </w:r>
      <w:r w:rsidR="00B85E17">
        <w:rPr>
          <w:rFonts w:ascii="Tahoma" w:hAnsi="Tahoma" w:cs="Tahoma"/>
        </w:rPr>
        <w:t xml:space="preserve">ne </w:t>
      </w:r>
      <w:r w:rsidR="00322CCD">
        <w:rPr>
          <w:rFonts w:ascii="Tahoma" w:hAnsi="Tahoma" w:cs="Tahoma"/>
        </w:rPr>
        <w:t xml:space="preserve">suit </w:t>
      </w:r>
      <w:r w:rsidR="00B85E17">
        <w:rPr>
          <w:rFonts w:ascii="Tahoma" w:hAnsi="Tahoma" w:cs="Tahoma"/>
        </w:rPr>
        <w:t xml:space="preserve">que </w:t>
      </w:r>
      <w:r w:rsidR="00322CCD">
        <w:rPr>
          <w:rFonts w:ascii="Tahoma" w:hAnsi="Tahoma" w:cs="Tahoma"/>
        </w:rPr>
        <w:t xml:space="preserve">la </w:t>
      </w:r>
      <w:r w:rsidR="00020025">
        <w:rPr>
          <w:rFonts w:ascii="Tahoma" w:hAnsi="Tahoma" w:cs="Tahoma"/>
        </w:rPr>
        <w:t>clôture</w:t>
      </w:r>
      <w:r w:rsidR="00322CCD">
        <w:rPr>
          <w:rFonts w:ascii="Tahoma" w:hAnsi="Tahoma" w:cs="Tahoma"/>
        </w:rPr>
        <w:t xml:space="preserve"> qui la </w:t>
      </w:r>
      <w:r w:rsidR="00020025">
        <w:rPr>
          <w:rFonts w:ascii="Tahoma" w:hAnsi="Tahoma" w:cs="Tahoma"/>
        </w:rPr>
        <w:t>précède</w:t>
      </w:r>
      <w:r w:rsidR="00322CCD">
        <w:rPr>
          <w:rFonts w:ascii="Tahoma" w:hAnsi="Tahoma" w:cs="Tahoma"/>
        </w:rPr>
        <w:t>.</w:t>
      </w:r>
    </w:p>
    <w:p w14:paraId="53AA9186" w14:textId="2A34CA4F"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3C6816A8" w14:textId="513CD541" w:rsidR="00C624BD" w:rsidRDefault="00BB0F51" w:rsidP="00041E45">
      <w:pPr>
        <w:jc w:val="both"/>
        <w:rPr>
          <w:rFonts w:ascii="Tahoma" w:hAnsi="Tahoma" w:cs="Tahoma"/>
        </w:rPr>
      </w:pPr>
      <w:r>
        <w:rPr>
          <w:noProof/>
        </w:rPr>
        <w:drawing>
          <wp:inline distT="0" distB="0" distL="0" distR="0" wp14:anchorId="4D1E3232" wp14:editId="77F53125">
            <wp:extent cx="5760720" cy="4320540"/>
            <wp:effectExtent l="0" t="0" r="0" b="3810"/>
            <wp:docPr id="167752778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3AC562F6" w:rsidR="00467005" w:rsidRDefault="00A67E1F" w:rsidP="00041E45">
      <w:pPr>
        <w:jc w:val="both"/>
        <w:rPr>
          <w:rFonts w:ascii="Tahoma" w:hAnsi="Tahoma" w:cs="Tahoma"/>
        </w:rPr>
      </w:pPr>
      <w:r>
        <w:rPr>
          <w:rFonts w:ascii="Tahoma" w:hAnsi="Tahoma" w:cs="Tahoma"/>
        </w:rPr>
        <w:t>Le contexte reste baissier sur le court terme. Les prix sont revenu</w:t>
      </w:r>
      <w:r w:rsidR="00DD76D0">
        <w:rPr>
          <w:rFonts w:ascii="Tahoma" w:hAnsi="Tahoma" w:cs="Tahoma"/>
        </w:rPr>
        <w:t>s</w:t>
      </w:r>
      <w:r>
        <w:rPr>
          <w:rFonts w:ascii="Tahoma" w:hAnsi="Tahoma" w:cs="Tahoma"/>
        </w:rPr>
        <w:t xml:space="preserve"> </w:t>
      </w:r>
      <w:r w:rsidR="00020025">
        <w:rPr>
          <w:rFonts w:ascii="Tahoma" w:hAnsi="Tahoma" w:cs="Tahoma"/>
        </w:rPr>
        <w:t>au-dessus</w:t>
      </w:r>
      <w:r>
        <w:rPr>
          <w:rFonts w:ascii="Tahoma" w:hAnsi="Tahoma" w:cs="Tahoma"/>
        </w:rPr>
        <w:t xml:space="preserve"> de la </w:t>
      </w:r>
      <w:r w:rsidR="00C624BD">
        <w:rPr>
          <w:rFonts w:ascii="Tahoma" w:hAnsi="Tahoma" w:cs="Tahoma"/>
        </w:rPr>
        <w:t xml:space="preserve">TS mais cette dernière ne se retournera à la hausse </w:t>
      </w:r>
      <w:r w:rsidR="00963C2C">
        <w:rPr>
          <w:rFonts w:ascii="Tahoma" w:hAnsi="Tahoma" w:cs="Tahoma"/>
        </w:rPr>
        <w:t xml:space="preserve">dans un premier temps, </w:t>
      </w:r>
      <w:r w:rsidR="00C624BD">
        <w:rPr>
          <w:rFonts w:ascii="Tahoma" w:hAnsi="Tahoma" w:cs="Tahoma"/>
        </w:rPr>
        <w:t xml:space="preserve">qu’avec un dépassement de </w:t>
      </w:r>
      <w:r w:rsidR="00597AAC">
        <w:rPr>
          <w:rFonts w:ascii="Tahoma" w:hAnsi="Tahoma" w:cs="Tahoma"/>
        </w:rPr>
        <w:t>126.26, qui entre dans le calcul de cette courbe et qui représente aussi le plus haut de la semaine.</w:t>
      </w:r>
    </w:p>
    <w:p w14:paraId="10BB9766" w14:textId="55B85A26" w:rsidR="00723F77" w:rsidRDefault="00C00230" w:rsidP="00041E45">
      <w:pPr>
        <w:jc w:val="both"/>
        <w:rPr>
          <w:rFonts w:ascii="Tahoma" w:hAnsi="Tahoma" w:cs="Tahoma"/>
        </w:rPr>
      </w:pPr>
      <w:r>
        <w:rPr>
          <w:rFonts w:ascii="Tahoma" w:hAnsi="Tahoma" w:cs="Tahoma"/>
        </w:rPr>
        <w:t>Le point de rupture sur cette unité de temps sera situé sur 126.85. Il matérialise le plat de KS (qui se maintiendra en début de semaine) et le plat de SSB futur.</w:t>
      </w:r>
    </w:p>
    <w:p w14:paraId="7545C2E9" w14:textId="5AF28BAA" w:rsidR="00BB0F51" w:rsidRDefault="00BB0F51" w:rsidP="00041E45">
      <w:pPr>
        <w:jc w:val="both"/>
        <w:rPr>
          <w:rFonts w:ascii="Tahoma" w:hAnsi="Tahoma" w:cs="Tahoma"/>
        </w:rPr>
      </w:pPr>
      <w:r>
        <w:rPr>
          <w:rFonts w:ascii="Tahoma" w:hAnsi="Tahoma" w:cs="Tahoma"/>
        </w:rPr>
        <w:t>L’indicateur technique qui évoluait en zone de survente, s’est retourné à la hausse. Sa direction devrait soutenir un potentiel rebond.</w:t>
      </w:r>
    </w:p>
    <w:p w14:paraId="1A49E3FC" w14:textId="77C70982" w:rsidR="00BB0F51" w:rsidRDefault="00BB0F51" w:rsidP="00B94D71">
      <w:pPr>
        <w:jc w:val="both"/>
        <w:rPr>
          <w:rFonts w:ascii="Tahoma" w:hAnsi="Tahoma" w:cs="Tahoma"/>
        </w:rPr>
      </w:pPr>
      <w:r>
        <w:rPr>
          <w:rFonts w:ascii="Tahoma" w:hAnsi="Tahoma" w:cs="Tahoma"/>
        </w:rPr>
        <w:t xml:space="preserve">Mais la forme des </w:t>
      </w:r>
      <w:r w:rsidR="00020025">
        <w:rPr>
          <w:rFonts w:ascii="Tahoma" w:hAnsi="Tahoma" w:cs="Tahoma"/>
        </w:rPr>
        <w:t>dernières</w:t>
      </w:r>
      <w:r>
        <w:rPr>
          <w:rFonts w:ascii="Tahoma" w:hAnsi="Tahoma" w:cs="Tahoma"/>
        </w:rPr>
        <w:t xml:space="preserve"> chandelles composées essentiellement d’ombres, montrent que l’incertitude a repris le dessus après deux séances positives en début de semaine. Ces bougies ne permettent pas d’envisager une poursuite du mouvement haussier issu des deux chandelles blanches qui les </w:t>
      </w:r>
      <w:r w:rsidR="00020025">
        <w:rPr>
          <w:rFonts w:ascii="Tahoma" w:hAnsi="Tahoma" w:cs="Tahoma"/>
        </w:rPr>
        <w:t>précède</w:t>
      </w:r>
      <w:r>
        <w:rPr>
          <w:rFonts w:ascii="Tahoma" w:hAnsi="Tahoma" w:cs="Tahoma"/>
        </w:rPr>
        <w:t xml:space="preserve">. Je resterai prudent </w:t>
      </w:r>
      <w:r w:rsidR="00D10049">
        <w:rPr>
          <w:rFonts w:ascii="Tahoma" w:hAnsi="Tahoma" w:cs="Tahoma"/>
        </w:rPr>
        <w:t xml:space="preserve">quant au rapport de force, </w:t>
      </w:r>
      <w:r>
        <w:rPr>
          <w:rFonts w:ascii="Tahoma" w:hAnsi="Tahoma" w:cs="Tahoma"/>
        </w:rPr>
        <w:t xml:space="preserve">tant que </w:t>
      </w:r>
      <w:r w:rsidR="00D10049">
        <w:rPr>
          <w:rFonts w:ascii="Tahoma" w:hAnsi="Tahoma" w:cs="Tahoma"/>
        </w:rPr>
        <w:t>126.26 ne sera pas dépassé.</w:t>
      </w:r>
    </w:p>
    <w:p w14:paraId="471937FA" w14:textId="77777777" w:rsidR="00BB0F51" w:rsidRDefault="00BB0F51" w:rsidP="00B94D71">
      <w:pPr>
        <w:jc w:val="both"/>
        <w:rPr>
          <w:rFonts w:ascii="Tahoma" w:hAnsi="Tahoma" w:cs="Tahoma"/>
        </w:rPr>
      </w:pPr>
    </w:p>
    <w:p w14:paraId="258EB8FF" w14:textId="521653B4" w:rsidR="00B94D71" w:rsidRDefault="00B94D71" w:rsidP="002648A3">
      <w:pPr>
        <w:spacing w:after="0"/>
        <w:jc w:val="both"/>
        <w:rPr>
          <w:rFonts w:ascii="Tahoma" w:hAnsi="Tahoma" w:cs="Tahoma"/>
        </w:rPr>
      </w:pPr>
      <w:r>
        <w:rPr>
          <w:rFonts w:ascii="Tahoma" w:hAnsi="Tahoma" w:cs="Tahoma"/>
          <w:u w:val="single"/>
        </w:rPr>
        <w:t>CONCLUSION</w:t>
      </w:r>
      <w:r>
        <w:rPr>
          <w:rFonts w:ascii="Tahoma" w:hAnsi="Tahoma" w:cs="Tahoma"/>
        </w:rPr>
        <w:t> :</w:t>
      </w:r>
      <w:r w:rsidR="004C7B5A">
        <w:rPr>
          <w:rFonts w:ascii="Tahoma" w:hAnsi="Tahoma" w:cs="Tahoma"/>
        </w:rPr>
        <w:t xml:space="preserve"> Difficile dans le contexte actuel d’avoir des convictions fortes. Les marchés financiers évoluent au gré des événements qui se </w:t>
      </w:r>
      <w:r w:rsidR="0065729F">
        <w:rPr>
          <w:rFonts w:ascii="Tahoma" w:hAnsi="Tahoma" w:cs="Tahoma"/>
        </w:rPr>
        <w:t>développent</w:t>
      </w:r>
      <w:r w:rsidR="004C7B5A">
        <w:rPr>
          <w:rFonts w:ascii="Tahoma" w:hAnsi="Tahoma" w:cs="Tahoma"/>
        </w:rPr>
        <w:t xml:space="preserve"> au moyen orient.</w:t>
      </w:r>
    </w:p>
    <w:p w14:paraId="25F1B5A0" w14:textId="6BAE5103" w:rsidR="004679F6" w:rsidRDefault="004679F6" w:rsidP="00B94D71">
      <w:pPr>
        <w:jc w:val="both"/>
        <w:rPr>
          <w:rFonts w:ascii="Tahoma" w:hAnsi="Tahoma" w:cs="Tahoma"/>
        </w:rPr>
      </w:pPr>
      <w:r>
        <w:rPr>
          <w:rFonts w:ascii="Tahoma" w:hAnsi="Tahoma" w:cs="Tahoma"/>
        </w:rPr>
        <w:t>Après une rupture du support de 125.63, les cours sont revenus pour évoluer autour de ce point sans direction précise.</w:t>
      </w:r>
      <w:r w:rsidR="001978EF">
        <w:rPr>
          <w:rFonts w:ascii="Tahoma" w:hAnsi="Tahoma" w:cs="Tahoma"/>
        </w:rPr>
        <w:t xml:space="preserve"> La baisse domine sur les trois unités de temps et sous 125.63 l’objectif est matérialisé par un plat de KS passée de 120.21.</w:t>
      </w:r>
    </w:p>
    <w:p w14:paraId="1AFF4BB0" w14:textId="1921E28E" w:rsidR="001978EF" w:rsidRDefault="001978EF" w:rsidP="00B94D71">
      <w:pPr>
        <w:jc w:val="both"/>
        <w:rPr>
          <w:rFonts w:ascii="Tahoma" w:hAnsi="Tahoma" w:cs="Tahoma"/>
        </w:rPr>
      </w:pPr>
      <w:r>
        <w:rPr>
          <w:rFonts w:ascii="Tahoma" w:hAnsi="Tahoma" w:cs="Tahoma"/>
        </w:rPr>
        <w:lastRenderedPageBreak/>
        <w:t>Mais comme l’évolution du conflit est incertaine, un rebond des cours peut voir le jour. Sa</w:t>
      </w:r>
      <w:r w:rsidR="003E1B0F">
        <w:rPr>
          <w:rFonts w:ascii="Tahoma" w:hAnsi="Tahoma" w:cs="Tahoma"/>
        </w:rPr>
        <w:t>ns</w:t>
      </w:r>
      <w:r>
        <w:rPr>
          <w:rFonts w:ascii="Tahoma" w:hAnsi="Tahoma" w:cs="Tahoma"/>
        </w:rPr>
        <w:t xml:space="preserve"> certitude quant </w:t>
      </w:r>
      <w:r w:rsidR="0065729F">
        <w:rPr>
          <w:rFonts w:ascii="Tahoma" w:hAnsi="Tahoma" w:cs="Tahoma"/>
        </w:rPr>
        <w:t>à son</w:t>
      </w:r>
      <w:r>
        <w:rPr>
          <w:rFonts w:ascii="Tahoma" w:hAnsi="Tahoma" w:cs="Tahoma"/>
        </w:rPr>
        <w:t xml:space="preserve"> dénouement </w:t>
      </w:r>
      <w:r w:rsidR="003E1B0F">
        <w:rPr>
          <w:rFonts w:ascii="Tahoma" w:hAnsi="Tahoma" w:cs="Tahoma"/>
        </w:rPr>
        <w:t>mais basé sur des rumeurs ou des anticipations, les prix pourraient progresser</w:t>
      </w:r>
      <w:r w:rsidR="0065729F">
        <w:rPr>
          <w:rFonts w:ascii="Tahoma" w:hAnsi="Tahoma" w:cs="Tahoma"/>
        </w:rPr>
        <w:t>, sur</w:t>
      </w:r>
      <w:r w:rsidR="003E1B0F">
        <w:rPr>
          <w:rFonts w:ascii="Tahoma" w:hAnsi="Tahoma" w:cs="Tahoma"/>
        </w:rPr>
        <w:t xml:space="preserve"> le court terme </w:t>
      </w:r>
      <w:r w:rsidR="0065729F">
        <w:rPr>
          <w:rFonts w:ascii="Tahoma" w:hAnsi="Tahoma" w:cs="Tahoma"/>
        </w:rPr>
        <w:t>par</w:t>
      </w:r>
      <w:r w:rsidR="003E1B0F">
        <w:rPr>
          <w:rFonts w:ascii="Tahoma" w:hAnsi="Tahoma" w:cs="Tahoma"/>
        </w:rPr>
        <w:t xml:space="preserve"> </w:t>
      </w:r>
      <w:r w:rsidR="0065729F">
        <w:rPr>
          <w:rFonts w:ascii="Tahoma" w:hAnsi="Tahoma" w:cs="Tahoma"/>
        </w:rPr>
        <w:t>l</w:t>
      </w:r>
      <w:r w:rsidR="003E1B0F">
        <w:rPr>
          <w:rFonts w:ascii="Tahoma" w:hAnsi="Tahoma" w:cs="Tahoma"/>
        </w:rPr>
        <w:t>es dépassement</w:t>
      </w:r>
      <w:r w:rsidR="003E1B0F">
        <w:rPr>
          <w:rFonts w:ascii="Tahoma" w:hAnsi="Tahoma" w:cs="Tahoma"/>
        </w:rPr>
        <w:t xml:space="preserve">s de 126.26 puis 126.85, sur le moyen terme de 127.02 </w:t>
      </w:r>
      <w:r w:rsidR="00B04F6B">
        <w:rPr>
          <w:rFonts w:ascii="Tahoma" w:hAnsi="Tahoma" w:cs="Tahoma"/>
        </w:rPr>
        <w:t>et sur le long terme de 127.38 puis de 129.60.</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0025"/>
    <w:rsid w:val="0002580A"/>
    <w:rsid w:val="00041E45"/>
    <w:rsid w:val="000524C5"/>
    <w:rsid w:val="000556C3"/>
    <w:rsid w:val="00055EEC"/>
    <w:rsid w:val="00057947"/>
    <w:rsid w:val="000833FB"/>
    <w:rsid w:val="00092058"/>
    <w:rsid w:val="000938CC"/>
    <w:rsid w:val="000A7BFF"/>
    <w:rsid w:val="000B221E"/>
    <w:rsid w:val="000B7DFC"/>
    <w:rsid w:val="000C0DE4"/>
    <w:rsid w:val="000D2501"/>
    <w:rsid w:val="000D4ED3"/>
    <w:rsid w:val="000E0B4F"/>
    <w:rsid w:val="001018AD"/>
    <w:rsid w:val="00103ED4"/>
    <w:rsid w:val="00105B4E"/>
    <w:rsid w:val="00134AFA"/>
    <w:rsid w:val="00135766"/>
    <w:rsid w:val="0014687D"/>
    <w:rsid w:val="0015581D"/>
    <w:rsid w:val="00161402"/>
    <w:rsid w:val="00163C46"/>
    <w:rsid w:val="001705F4"/>
    <w:rsid w:val="001707F8"/>
    <w:rsid w:val="00190995"/>
    <w:rsid w:val="001978EF"/>
    <w:rsid w:val="001A4796"/>
    <w:rsid w:val="001C6850"/>
    <w:rsid w:val="001D474B"/>
    <w:rsid w:val="001F650A"/>
    <w:rsid w:val="002003AD"/>
    <w:rsid w:val="002421FE"/>
    <w:rsid w:val="00262E25"/>
    <w:rsid w:val="00263ED0"/>
    <w:rsid w:val="002648A3"/>
    <w:rsid w:val="0028372D"/>
    <w:rsid w:val="002A1F8E"/>
    <w:rsid w:val="002B5CB1"/>
    <w:rsid w:val="002C0A31"/>
    <w:rsid w:val="002F54B0"/>
    <w:rsid w:val="00303214"/>
    <w:rsid w:val="0030643B"/>
    <w:rsid w:val="00322CCD"/>
    <w:rsid w:val="00337611"/>
    <w:rsid w:val="00340FD9"/>
    <w:rsid w:val="00352DD9"/>
    <w:rsid w:val="003767E0"/>
    <w:rsid w:val="00397D3D"/>
    <w:rsid w:val="003E1B0F"/>
    <w:rsid w:val="003F48DE"/>
    <w:rsid w:val="0040171B"/>
    <w:rsid w:val="00467005"/>
    <w:rsid w:val="004679F6"/>
    <w:rsid w:val="004A2D2D"/>
    <w:rsid w:val="004A5154"/>
    <w:rsid w:val="004C7B5A"/>
    <w:rsid w:val="004F48EE"/>
    <w:rsid w:val="00531928"/>
    <w:rsid w:val="005440A4"/>
    <w:rsid w:val="00546A5A"/>
    <w:rsid w:val="00566580"/>
    <w:rsid w:val="00567AF3"/>
    <w:rsid w:val="00583BC8"/>
    <w:rsid w:val="00597AAC"/>
    <w:rsid w:val="00654380"/>
    <w:rsid w:val="0065729F"/>
    <w:rsid w:val="00664BE1"/>
    <w:rsid w:val="0067589B"/>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00FA"/>
    <w:rsid w:val="008A7407"/>
    <w:rsid w:val="008F10C2"/>
    <w:rsid w:val="00902D2F"/>
    <w:rsid w:val="00934C61"/>
    <w:rsid w:val="00941AF5"/>
    <w:rsid w:val="00961FDF"/>
    <w:rsid w:val="00963C2C"/>
    <w:rsid w:val="00983B7D"/>
    <w:rsid w:val="009A37C2"/>
    <w:rsid w:val="009B4A80"/>
    <w:rsid w:val="009D64C0"/>
    <w:rsid w:val="009F3AB8"/>
    <w:rsid w:val="00A11606"/>
    <w:rsid w:val="00A3516E"/>
    <w:rsid w:val="00A444C0"/>
    <w:rsid w:val="00A6401C"/>
    <w:rsid w:val="00A67E1F"/>
    <w:rsid w:val="00A81AB7"/>
    <w:rsid w:val="00A935DD"/>
    <w:rsid w:val="00AA522C"/>
    <w:rsid w:val="00AE7F3B"/>
    <w:rsid w:val="00B04F6B"/>
    <w:rsid w:val="00B34260"/>
    <w:rsid w:val="00B41C02"/>
    <w:rsid w:val="00B4335A"/>
    <w:rsid w:val="00B50E38"/>
    <w:rsid w:val="00B554B8"/>
    <w:rsid w:val="00B64EE0"/>
    <w:rsid w:val="00B85E17"/>
    <w:rsid w:val="00B94D71"/>
    <w:rsid w:val="00BB0E32"/>
    <w:rsid w:val="00BB0F51"/>
    <w:rsid w:val="00BB6D9D"/>
    <w:rsid w:val="00BC77A5"/>
    <w:rsid w:val="00BD3FC1"/>
    <w:rsid w:val="00BF06B8"/>
    <w:rsid w:val="00C00230"/>
    <w:rsid w:val="00C17ED7"/>
    <w:rsid w:val="00C41F15"/>
    <w:rsid w:val="00C43FD6"/>
    <w:rsid w:val="00C624BD"/>
    <w:rsid w:val="00C67BA3"/>
    <w:rsid w:val="00C70171"/>
    <w:rsid w:val="00C70A68"/>
    <w:rsid w:val="00C82E98"/>
    <w:rsid w:val="00CB17C9"/>
    <w:rsid w:val="00CC72FF"/>
    <w:rsid w:val="00CC7C21"/>
    <w:rsid w:val="00CE0886"/>
    <w:rsid w:val="00CF2516"/>
    <w:rsid w:val="00CF6D63"/>
    <w:rsid w:val="00D10049"/>
    <w:rsid w:val="00D23B28"/>
    <w:rsid w:val="00D46C8D"/>
    <w:rsid w:val="00DA1359"/>
    <w:rsid w:val="00DD23A4"/>
    <w:rsid w:val="00DD76D0"/>
    <w:rsid w:val="00DE5444"/>
    <w:rsid w:val="00DF072F"/>
    <w:rsid w:val="00E32014"/>
    <w:rsid w:val="00E3727C"/>
    <w:rsid w:val="00E54C83"/>
    <w:rsid w:val="00EB58BA"/>
    <w:rsid w:val="00ED0243"/>
    <w:rsid w:val="00EE00CC"/>
    <w:rsid w:val="00EE6B93"/>
    <w:rsid w:val="00F04A6E"/>
    <w:rsid w:val="00F04DEF"/>
    <w:rsid w:val="00F31070"/>
    <w:rsid w:val="00F46DFF"/>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4</Pages>
  <Words>779</Words>
  <Characters>4290</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133</cp:revision>
  <dcterms:created xsi:type="dcterms:W3CDTF">2021-11-25T09:44:00Z</dcterms:created>
  <dcterms:modified xsi:type="dcterms:W3CDTF">2026-04-03T15:49:00Z</dcterms:modified>
</cp:coreProperties>
</file>