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5188E04C" w:rsidR="00583BC8" w:rsidRDefault="000F3960" w:rsidP="00B41C02">
      <w:pPr>
        <w:jc w:val="both"/>
        <w:rPr>
          <w:rFonts w:ascii="Tahoma" w:hAnsi="Tahoma" w:cs="Tahoma"/>
        </w:rPr>
      </w:pPr>
      <w:r>
        <w:rPr>
          <w:noProof/>
        </w:rPr>
        <w:drawing>
          <wp:inline distT="0" distB="0" distL="0" distR="0" wp14:anchorId="7BA285B1" wp14:editId="79597D9C">
            <wp:extent cx="5760720" cy="4320540"/>
            <wp:effectExtent l="0" t="0" r="0" b="3810"/>
            <wp:docPr id="134595110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5BE2D0E2" w:rsidR="00467005" w:rsidRDefault="0041790D" w:rsidP="00041E45">
      <w:pPr>
        <w:jc w:val="both"/>
        <w:rPr>
          <w:rFonts w:ascii="Tahoma" w:hAnsi="Tahoma" w:cs="Tahoma"/>
        </w:rPr>
      </w:pPr>
      <w:r>
        <w:rPr>
          <w:rFonts w:ascii="Tahoma" w:hAnsi="Tahoma" w:cs="Tahoma"/>
        </w:rPr>
        <w:t>Sur le court terme, les courbes Ichimoku ne donnent pas de sign</w:t>
      </w:r>
      <w:r w:rsidR="00E93EA1">
        <w:rPr>
          <w:rFonts w:ascii="Tahoma" w:hAnsi="Tahoma" w:cs="Tahoma"/>
        </w:rPr>
        <w:t>aux</w:t>
      </w:r>
      <w:r>
        <w:rPr>
          <w:rFonts w:ascii="Tahoma" w:hAnsi="Tahoma" w:cs="Tahoma"/>
        </w:rPr>
        <w:t xml:space="preserve"> positifs permettant d’envisager un début de retournement haussier. Pour autant les vendeurs même s’ils dominent les échanges, restent cantonnés à une zone dont le pivot peut être défini par le support/</w:t>
      </w:r>
      <w:r w:rsidR="00E93EA1">
        <w:rPr>
          <w:rFonts w:ascii="Tahoma" w:hAnsi="Tahoma" w:cs="Tahoma"/>
        </w:rPr>
        <w:t>résistance</w:t>
      </w:r>
      <w:r>
        <w:rPr>
          <w:rFonts w:ascii="Tahoma" w:hAnsi="Tahoma" w:cs="Tahoma"/>
        </w:rPr>
        <w:t xml:space="preserve"> de long terme de 125.63.</w:t>
      </w:r>
    </w:p>
    <w:p w14:paraId="46B809B4" w14:textId="72D98A98" w:rsidR="009C0C4B" w:rsidRDefault="009C0C4B" w:rsidP="00041E45">
      <w:pPr>
        <w:jc w:val="both"/>
        <w:rPr>
          <w:rFonts w:ascii="Tahoma" w:hAnsi="Tahoma" w:cs="Tahoma"/>
        </w:rPr>
      </w:pPr>
      <w:r>
        <w:rPr>
          <w:rFonts w:ascii="Tahoma" w:hAnsi="Tahoma" w:cs="Tahoma"/>
        </w:rPr>
        <w:t>La forme du nuage futur avec une SSB plate sur 126.85 et une SSA orientée à la baisse, soit un élargissement du nuage, résulte d’une volatilité importante.</w:t>
      </w:r>
      <w:r w:rsidR="003706D4">
        <w:rPr>
          <w:rFonts w:ascii="Tahoma" w:hAnsi="Tahoma" w:cs="Tahoma"/>
        </w:rPr>
        <w:t xml:space="preserve"> Ainsi l</w:t>
      </w:r>
      <w:r w:rsidR="0040295D">
        <w:rPr>
          <w:rFonts w:ascii="Tahoma" w:hAnsi="Tahoma" w:cs="Tahoma"/>
        </w:rPr>
        <w:t xml:space="preserve">e nuage </w:t>
      </w:r>
      <w:r w:rsidR="003706D4">
        <w:rPr>
          <w:rFonts w:ascii="Tahoma" w:hAnsi="Tahoma" w:cs="Tahoma"/>
        </w:rPr>
        <w:t>a</w:t>
      </w:r>
      <w:r w:rsidR="0040295D">
        <w:rPr>
          <w:rFonts w:ascii="Tahoma" w:hAnsi="Tahoma" w:cs="Tahoma"/>
        </w:rPr>
        <w:t xml:space="preserve"> perdu pour le moment sa direction</w:t>
      </w:r>
      <w:r w:rsidR="003706D4">
        <w:rPr>
          <w:rFonts w:ascii="Tahoma" w:hAnsi="Tahoma" w:cs="Tahoma"/>
        </w:rPr>
        <w:t>.</w:t>
      </w:r>
    </w:p>
    <w:p w14:paraId="2769CADC" w14:textId="09739317" w:rsidR="003A3626" w:rsidRDefault="003706D4" w:rsidP="003A3626">
      <w:pPr>
        <w:spacing w:after="0"/>
        <w:jc w:val="both"/>
        <w:rPr>
          <w:rFonts w:ascii="Tahoma" w:hAnsi="Tahoma" w:cs="Tahoma"/>
        </w:rPr>
      </w:pPr>
      <w:r>
        <w:rPr>
          <w:rFonts w:ascii="Tahoma" w:hAnsi="Tahoma" w:cs="Tahoma"/>
        </w:rPr>
        <w:t>La dernière chandelle est quant à elle positive, elle dessine un avalement haussier qui se classe dans les figure</w:t>
      </w:r>
      <w:r w:rsidR="003A3626">
        <w:rPr>
          <w:rFonts w:ascii="Tahoma" w:hAnsi="Tahoma" w:cs="Tahoma"/>
        </w:rPr>
        <w:t>s</w:t>
      </w:r>
      <w:r>
        <w:rPr>
          <w:rFonts w:ascii="Tahoma" w:hAnsi="Tahoma" w:cs="Tahoma"/>
        </w:rPr>
        <w:t xml:space="preserve"> de retournement</w:t>
      </w:r>
      <w:r w:rsidR="003A3626">
        <w:rPr>
          <w:rFonts w:ascii="Tahoma" w:hAnsi="Tahoma" w:cs="Tahoma"/>
        </w:rPr>
        <w:t xml:space="preserve">. Elle a pris naissance sur 124.40, proche du bas récent de 124.25. Elle termine la semaine et la séance après </w:t>
      </w:r>
      <w:r w:rsidR="00E93EA1">
        <w:rPr>
          <w:rFonts w:ascii="Tahoma" w:hAnsi="Tahoma" w:cs="Tahoma"/>
        </w:rPr>
        <w:t>être</w:t>
      </w:r>
      <w:r w:rsidR="003A3626">
        <w:rPr>
          <w:rFonts w:ascii="Tahoma" w:hAnsi="Tahoma" w:cs="Tahoma"/>
        </w:rPr>
        <w:t xml:space="preserve"> venu sur le plat de KS de 125.45.</w:t>
      </w:r>
    </w:p>
    <w:p w14:paraId="29A40E31" w14:textId="77777777" w:rsidR="003A3626" w:rsidRDefault="003A3626" w:rsidP="003A3626">
      <w:pPr>
        <w:spacing w:after="0"/>
        <w:jc w:val="both"/>
        <w:rPr>
          <w:rFonts w:ascii="Tahoma" w:hAnsi="Tahoma" w:cs="Tahoma"/>
        </w:rPr>
      </w:pPr>
      <w:r>
        <w:rPr>
          <w:rFonts w:ascii="Tahoma" w:hAnsi="Tahoma" w:cs="Tahoma"/>
        </w:rPr>
        <w:t>Ce plat de KS se prolongera un certain temps. Il devrait servir de résistance à la hausse des prix. Il va nous permettre de jauger la force des acheteurs et de valider ou pas un possible retournement des prix sur cette unité de temps.</w:t>
      </w:r>
    </w:p>
    <w:p w14:paraId="3943C88C" w14:textId="62562A01" w:rsidR="003A3626" w:rsidRDefault="003A3626" w:rsidP="003A3626">
      <w:pPr>
        <w:spacing w:after="0"/>
        <w:jc w:val="both"/>
        <w:rPr>
          <w:rFonts w:ascii="Tahoma" w:hAnsi="Tahoma" w:cs="Tahoma"/>
        </w:rPr>
      </w:pPr>
      <w:r>
        <w:rPr>
          <w:rFonts w:ascii="Tahoma" w:hAnsi="Tahoma" w:cs="Tahoma"/>
        </w:rPr>
        <w:lastRenderedPageBreak/>
        <w:t xml:space="preserve">En cas d’échec de dépassement de 125.45, il faudra surveiller le point médian </w:t>
      </w:r>
      <w:r w:rsidR="00FA5156">
        <w:rPr>
          <w:rFonts w:ascii="Tahoma" w:hAnsi="Tahoma" w:cs="Tahoma"/>
        </w:rPr>
        <w:t xml:space="preserve">de la chandelle blanche </w:t>
      </w:r>
      <w:r>
        <w:rPr>
          <w:rFonts w:ascii="Tahoma" w:hAnsi="Tahoma" w:cs="Tahoma"/>
        </w:rPr>
        <w:t xml:space="preserve">de </w:t>
      </w:r>
      <w:r w:rsidR="00413443">
        <w:rPr>
          <w:rFonts w:ascii="Tahoma" w:hAnsi="Tahoma" w:cs="Tahoma"/>
        </w:rPr>
        <w:t xml:space="preserve">124.96. </w:t>
      </w:r>
      <w:r w:rsidR="00FA5156">
        <w:rPr>
          <w:rFonts w:ascii="Tahoma" w:hAnsi="Tahoma" w:cs="Tahoma"/>
        </w:rPr>
        <w:t>S’il tient après un repli, c</w:t>
      </w:r>
      <w:r w:rsidR="00413443">
        <w:rPr>
          <w:rFonts w:ascii="Tahoma" w:hAnsi="Tahoma" w:cs="Tahoma"/>
        </w:rPr>
        <w:t>e dernier</w:t>
      </w:r>
      <w:r w:rsidR="00FA5156">
        <w:rPr>
          <w:rFonts w:ascii="Tahoma" w:hAnsi="Tahoma" w:cs="Tahoma"/>
        </w:rPr>
        <w:t xml:space="preserve"> </w:t>
      </w:r>
      <w:r w:rsidR="00413443">
        <w:rPr>
          <w:rFonts w:ascii="Tahoma" w:hAnsi="Tahoma" w:cs="Tahoma"/>
        </w:rPr>
        <w:t>devrait inciter l’ouverture de positions longues. Si ce n’est pas le cas, un retour sur les bas récents  de 124.25-124.40 sera envisagé.</w:t>
      </w:r>
    </w:p>
    <w:p w14:paraId="3525AC90" w14:textId="77777777" w:rsidR="003A3626" w:rsidRDefault="003A3626" w:rsidP="003A3626">
      <w:pPr>
        <w:spacing w:after="0"/>
        <w:jc w:val="both"/>
        <w:rPr>
          <w:rFonts w:ascii="Tahoma" w:hAnsi="Tahoma" w:cs="Tahoma"/>
        </w:rPr>
      </w:pPr>
    </w:p>
    <w:p w14:paraId="6EE94953" w14:textId="77777777" w:rsidR="003A3626" w:rsidRDefault="003A3626" w:rsidP="003A3626">
      <w:pPr>
        <w:spacing w:after="0"/>
        <w:jc w:val="both"/>
        <w:rPr>
          <w:rFonts w:ascii="Tahoma" w:hAnsi="Tahoma" w:cs="Tahoma"/>
        </w:rPr>
      </w:pPr>
    </w:p>
    <w:p w14:paraId="7E0AE3BE" w14:textId="77777777" w:rsidR="003A3626" w:rsidRDefault="003A3626" w:rsidP="003A3626">
      <w:pPr>
        <w:spacing w:after="0"/>
        <w:jc w:val="both"/>
        <w:rPr>
          <w:rFonts w:ascii="Tahoma" w:hAnsi="Tahoma" w:cs="Tahoma"/>
        </w:rPr>
      </w:pPr>
    </w:p>
    <w:p w14:paraId="0043A4E7" w14:textId="06AEE16E" w:rsidR="003706D4" w:rsidRDefault="003A3626" w:rsidP="003A3626">
      <w:pPr>
        <w:spacing w:after="0"/>
        <w:jc w:val="both"/>
        <w:rPr>
          <w:rFonts w:ascii="Tahoma" w:hAnsi="Tahoma" w:cs="Tahoma"/>
        </w:rPr>
      </w:pPr>
      <w:r>
        <w:rPr>
          <w:rFonts w:ascii="Tahoma" w:hAnsi="Tahoma" w:cs="Tahoma"/>
        </w:rPr>
        <w:t xml:space="preserve"> </w:t>
      </w:r>
    </w:p>
    <w:p w14:paraId="20EE65CB" w14:textId="77777777" w:rsidR="000F3960" w:rsidRPr="00041E45" w:rsidRDefault="000F3960" w:rsidP="000F3960">
      <w:pPr>
        <w:jc w:val="both"/>
        <w:rPr>
          <w:rFonts w:ascii="Tahoma" w:hAnsi="Tahoma" w:cs="Tahoma"/>
          <w:sz w:val="32"/>
          <w:szCs w:val="32"/>
          <w:u w:val="single"/>
        </w:rPr>
      </w:pPr>
      <w:r w:rsidRPr="00041E45">
        <w:rPr>
          <w:rFonts w:ascii="Tahoma" w:hAnsi="Tahoma" w:cs="Tahoma"/>
          <w:sz w:val="32"/>
          <w:szCs w:val="32"/>
          <w:u w:val="single"/>
        </w:rPr>
        <w:t>Week</w:t>
      </w:r>
    </w:p>
    <w:p w14:paraId="74C3DD55" w14:textId="77777777" w:rsidR="000F3960" w:rsidRDefault="000F3960" w:rsidP="000F3960">
      <w:pPr>
        <w:jc w:val="both"/>
        <w:rPr>
          <w:rFonts w:ascii="Tahoma" w:hAnsi="Tahoma" w:cs="Tahoma"/>
        </w:rPr>
      </w:pPr>
      <w:r>
        <w:rPr>
          <w:noProof/>
        </w:rPr>
        <w:drawing>
          <wp:inline distT="0" distB="0" distL="0" distR="0" wp14:anchorId="24D58812" wp14:editId="2ED1DFB3">
            <wp:extent cx="5760720" cy="4320540"/>
            <wp:effectExtent l="0" t="0" r="0" b="3810"/>
            <wp:docPr id="134638107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52543F5" w14:textId="6C706B20" w:rsidR="00413443" w:rsidRDefault="000F3960" w:rsidP="000F3960">
      <w:pPr>
        <w:jc w:val="both"/>
        <w:rPr>
          <w:rFonts w:ascii="Tahoma" w:hAnsi="Tahoma" w:cs="Tahoma"/>
        </w:rPr>
      </w:pPr>
      <w:r>
        <w:rPr>
          <w:rFonts w:ascii="Tahoma" w:hAnsi="Tahoma" w:cs="Tahoma"/>
        </w:rPr>
        <w:t>L</w:t>
      </w:r>
      <w:r w:rsidR="00413443">
        <w:rPr>
          <w:rFonts w:ascii="Tahoma" w:hAnsi="Tahoma" w:cs="Tahoma"/>
        </w:rPr>
        <w:t>e contexte est baissier sur le moyen terme avec des cours et un</w:t>
      </w:r>
      <w:r w:rsidR="00E20906">
        <w:rPr>
          <w:rFonts w:ascii="Tahoma" w:hAnsi="Tahoma" w:cs="Tahoma"/>
        </w:rPr>
        <w:t>e</w:t>
      </w:r>
      <w:r w:rsidR="00413443">
        <w:rPr>
          <w:rFonts w:ascii="Tahoma" w:hAnsi="Tahoma" w:cs="Tahoma"/>
        </w:rPr>
        <w:t xml:space="preserve"> LS qui évoluent sous leur nuage.</w:t>
      </w:r>
    </w:p>
    <w:p w14:paraId="1D105FEE" w14:textId="74A8BF27" w:rsidR="00413443" w:rsidRDefault="00413443" w:rsidP="000F3960">
      <w:pPr>
        <w:jc w:val="both"/>
        <w:rPr>
          <w:rFonts w:ascii="Tahoma" w:hAnsi="Tahoma" w:cs="Tahoma"/>
        </w:rPr>
      </w:pPr>
      <w:r>
        <w:rPr>
          <w:rFonts w:ascii="Tahoma" w:hAnsi="Tahoma" w:cs="Tahoma"/>
        </w:rPr>
        <w:t>Les plats qui s’y développent montrent que le contrat n’a plus de direction. Depuis la baisse du début d’année, le marché consolide autour de la résistance de long terme de 125.63.</w:t>
      </w:r>
    </w:p>
    <w:p w14:paraId="025630AC" w14:textId="1E4E1A4F" w:rsidR="00D30FB8" w:rsidRDefault="00D30FB8" w:rsidP="000F3960">
      <w:pPr>
        <w:jc w:val="both"/>
        <w:rPr>
          <w:rFonts w:ascii="Tahoma" w:hAnsi="Tahoma" w:cs="Tahoma"/>
        </w:rPr>
      </w:pPr>
      <w:r>
        <w:rPr>
          <w:rFonts w:ascii="Tahoma" w:hAnsi="Tahoma" w:cs="Tahoma"/>
        </w:rPr>
        <w:t>Beaucoup d’incertitude comme le montre les dernières chandelles composées essentiellement de mèches.</w:t>
      </w:r>
      <w:r w:rsidR="00881609">
        <w:rPr>
          <w:rFonts w:ascii="Tahoma" w:hAnsi="Tahoma" w:cs="Tahoma"/>
        </w:rPr>
        <w:t xml:space="preserve"> La dernière bougie traduit quant à elle un refus de la baisse mais ne valide pas un retournement des prix.</w:t>
      </w:r>
    </w:p>
    <w:p w14:paraId="6C06B0CC" w14:textId="321A420E" w:rsidR="00E9592A" w:rsidRDefault="00E9592A" w:rsidP="000F3960">
      <w:pPr>
        <w:jc w:val="both"/>
        <w:rPr>
          <w:rFonts w:ascii="Tahoma" w:hAnsi="Tahoma" w:cs="Tahoma"/>
        </w:rPr>
      </w:pPr>
      <w:r>
        <w:rPr>
          <w:rFonts w:ascii="Tahoma" w:hAnsi="Tahoma" w:cs="Tahoma"/>
        </w:rPr>
        <w:t xml:space="preserve">Ainsi le contexte géopolitique </w:t>
      </w:r>
      <w:r w:rsidR="00E93EA1">
        <w:rPr>
          <w:rFonts w:ascii="Tahoma" w:hAnsi="Tahoma" w:cs="Tahoma"/>
        </w:rPr>
        <w:t>amène</w:t>
      </w:r>
      <w:r>
        <w:rPr>
          <w:rFonts w:ascii="Tahoma" w:hAnsi="Tahoma" w:cs="Tahoma"/>
        </w:rPr>
        <w:t xml:space="preserve"> </w:t>
      </w:r>
      <w:r w:rsidR="00D42BA5">
        <w:rPr>
          <w:rFonts w:ascii="Tahoma" w:hAnsi="Tahoma" w:cs="Tahoma"/>
        </w:rPr>
        <w:t>une grande</w:t>
      </w:r>
      <w:r>
        <w:rPr>
          <w:rFonts w:ascii="Tahoma" w:hAnsi="Tahoma" w:cs="Tahoma"/>
        </w:rPr>
        <w:t xml:space="preserve"> incertitude mais il semblerait que les marchés de taux ont </w:t>
      </w:r>
      <w:r w:rsidR="00D42BA5">
        <w:rPr>
          <w:rFonts w:ascii="Tahoma" w:hAnsi="Tahoma" w:cs="Tahoma"/>
        </w:rPr>
        <w:t xml:space="preserve">accepté et </w:t>
      </w:r>
      <w:r w:rsidR="00E93EA1">
        <w:rPr>
          <w:rFonts w:ascii="Tahoma" w:hAnsi="Tahoma" w:cs="Tahoma"/>
        </w:rPr>
        <w:t>digéré</w:t>
      </w:r>
      <w:r>
        <w:rPr>
          <w:rFonts w:ascii="Tahoma" w:hAnsi="Tahoma" w:cs="Tahoma"/>
        </w:rPr>
        <w:t xml:space="preserve"> </w:t>
      </w:r>
      <w:r w:rsidR="00D42BA5">
        <w:rPr>
          <w:rFonts w:ascii="Tahoma" w:hAnsi="Tahoma" w:cs="Tahoma"/>
        </w:rPr>
        <w:t>une</w:t>
      </w:r>
      <w:r>
        <w:rPr>
          <w:rFonts w:ascii="Tahoma" w:hAnsi="Tahoma" w:cs="Tahoma"/>
        </w:rPr>
        <w:t xml:space="preserve"> possible hausse des taux directeur</w:t>
      </w:r>
      <w:r w:rsidR="00D42BA5">
        <w:rPr>
          <w:rFonts w:ascii="Tahoma" w:hAnsi="Tahoma" w:cs="Tahoma"/>
        </w:rPr>
        <w:t>s</w:t>
      </w:r>
      <w:r>
        <w:rPr>
          <w:rFonts w:ascii="Tahoma" w:hAnsi="Tahoma" w:cs="Tahoma"/>
        </w:rPr>
        <w:t xml:space="preserve"> européens (juin +0.25% ?). </w:t>
      </w:r>
    </w:p>
    <w:p w14:paraId="403F4E60" w14:textId="08BE4A2B" w:rsidR="005640E4" w:rsidRDefault="005640E4" w:rsidP="000F3960">
      <w:pPr>
        <w:jc w:val="both"/>
        <w:rPr>
          <w:rFonts w:ascii="Tahoma" w:hAnsi="Tahoma" w:cs="Tahoma"/>
        </w:rPr>
      </w:pPr>
      <w:r>
        <w:rPr>
          <w:rFonts w:ascii="Tahoma" w:hAnsi="Tahoma" w:cs="Tahoma"/>
        </w:rPr>
        <w:t xml:space="preserve">Techniquement, 125.63 parait </w:t>
      </w:r>
      <w:r w:rsidR="00E93EA1">
        <w:rPr>
          <w:rFonts w:ascii="Tahoma" w:hAnsi="Tahoma" w:cs="Tahoma"/>
        </w:rPr>
        <w:t>être</w:t>
      </w:r>
      <w:r>
        <w:rPr>
          <w:rFonts w:ascii="Tahoma" w:hAnsi="Tahoma" w:cs="Tahoma"/>
        </w:rPr>
        <w:t xml:space="preserve"> un pivot du marché. Son dépassement </w:t>
      </w:r>
      <w:r w:rsidR="00E93EA1">
        <w:rPr>
          <w:rFonts w:ascii="Tahoma" w:hAnsi="Tahoma" w:cs="Tahoma"/>
        </w:rPr>
        <w:t>amènera</w:t>
      </w:r>
      <w:r>
        <w:rPr>
          <w:rFonts w:ascii="Tahoma" w:hAnsi="Tahoma" w:cs="Tahoma"/>
        </w:rPr>
        <w:t xml:space="preserve"> les prix sur le plat de KS de 126.85.</w:t>
      </w:r>
      <w:r w:rsidR="009A71D7">
        <w:rPr>
          <w:rFonts w:ascii="Tahoma" w:hAnsi="Tahoma" w:cs="Tahoma"/>
        </w:rPr>
        <w:t xml:space="preserve"> Cela sera un maximum dans l’environnement actuel car ce plat de KS </w:t>
      </w:r>
      <w:r w:rsidR="00E93EA1">
        <w:rPr>
          <w:rFonts w:ascii="Tahoma" w:hAnsi="Tahoma" w:cs="Tahoma"/>
        </w:rPr>
        <w:t>Week</w:t>
      </w:r>
      <w:r w:rsidR="009A71D7">
        <w:rPr>
          <w:rFonts w:ascii="Tahoma" w:hAnsi="Tahoma" w:cs="Tahoma"/>
        </w:rPr>
        <w:t xml:space="preserve"> est renforcé par un plat de SSB et de KS </w:t>
      </w:r>
      <w:r w:rsidR="00E20906">
        <w:rPr>
          <w:rFonts w:ascii="Tahoma" w:hAnsi="Tahoma" w:cs="Tahoma"/>
        </w:rPr>
        <w:t>D</w:t>
      </w:r>
      <w:r w:rsidR="009A71D7">
        <w:rPr>
          <w:rFonts w:ascii="Tahoma" w:hAnsi="Tahoma" w:cs="Tahoma"/>
        </w:rPr>
        <w:t xml:space="preserve">aily. </w:t>
      </w:r>
    </w:p>
    <w:p w14:paraId="2824C865" w14:textId="77777777" w:rsidR="000F3960" w:rsidRDefault="000F3960" w:rsidP="00041E45">
      <w:pPr>
        <w:jc w:val="both"/>
        <w:rPr>
          <w:rFonts w:ascii="Tahoma" w:hAnsi="Tahoma" w:cs="Tahoma"/>
        </w:rPr>
      </w:pPr>
    </w:p>
    <w:p w14:paraId="53605804" w14:textId="321D7BC7" w:rsidR="009A71D7" w:rsidRPr="009A71D7" w:rsidRDefault="000F3960" w:rsidP="00041E45">
      <w:pPr>
        <w:jc w:val="both"/>
        <w:rPr>
          <w:rFonts w:ascii="Tahoma" w:hAnsi="Tahoma" w:cs="Tahoma"/>
          <w:sz w:val="32"/>
          <w:szCs w:val="32"/>
          <w:u w:val="single"/>
        </w:rPr>
      </w:pPr>
      <w:r>
        <w:rPr>
          <w:rFonts w:ascii="Tahoma" w:hAnsi="Tahoma" w:cs="Tahoma"/>
          <w:sz w:val="32"/>
          <w:szCs w:val="32"/>
          <w:u w:val="single"/>
        </w:rPr>
        <w:t>Month</w:t>
      </w:r>
    </w:p>
    <w:p w14:paraId="10BB9766" w14:textId="29483D31" w:rsidR="00723F77" w:rsidRDefault="000F3960" w:rsidP="00041E45">
      <w:pPr>
        <w:jc w:val="both"/>
        <w:rPr>
          <w:rFonts w:ascii="Tahoma" w:hAnsi="Tahoma" w:cs="Tahoma"/>
        </w:rPr>
      </w:pPr>
      <w:r>
        <w:rPr>
          <w:noProof/>
        </w:rPr>
        <w:drawing>
          <wp:inline distT="0" distB="0" distL="0" distR="0" wp14:anchorId="11CFED36" wp14:editId="4083970F">
            <wp:extent cx="5760720" cy="4320540"/>
            <wp:effectExtent l="0" t="0" r="0" b="3810"/>
            <wp:docPr id="12716667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F9C29B5" w14:textId="30E9BED8" w:rsidR="009A71D7" w:rsidRDefault="009A71D7" w:rsidP="00041E45">
      <w:pPr>
        <w:jc w:val="both"/>
        <w:rPr>
          <w:rFonts w:ascii="Tahoma" w:hAnsi="Tahoma" w:cs="Tahoma"/>
        </w:rPr>
      </w:pPr>
      <w:r>
        <w:rPr>
          <w:rFonts w:ascii="Tahoma" w:hAnsi="Tahoma" w:cs="Tahoma"/>
        </w:rPr>
        <w:t>Environnement baissier sur le long terme.</w:t>
      </w:r>
    </w:p>
    <w:p w14:paraId="7B268B93" w14:textId="36B18B78" w:rsidR="009A71D7" w:rsidRDefault="00C406A1" w:rsidP="00041E45">
      <w:pPr>
        <w:jc w:val="both"/>
        <w:rPr>
          <w:rFonts w:ascii="Tahoma" w:hAnsi="Tahoma" w:cs="Tahoma"/>
        </w:rPr>
      </w:pPr>
      <w:r>
        <w:rPr>
          <w:rFonts w:ascii="Tahoma" w:hAnsi="Tahoma" w:cs="Tahoma"/>
        </w:rPr>
        <w:t xml:space="preserve">Les prix sont revenus sur le support de 125.63 qui matérialise un plat mensuel de SSB passée. C’est un support fort et important. Sa rupture aura pour objectif le support suivant de 120.21 qui représente </w:t>
      </w:r>
      <w:r w:rsidR="00016493">
        <w:rPr>
          <w:rFonts w:ascii="Tahoma" w:hAnsi="Tahoma" w:cs="Tahoma"/>
        </w:rPr>
        <w:t>un plat de KS passée.</w:t>
      </w:r>
    </w:p>
    <w:p w14:paraId="230F7823" w14:textId="4539C2B1" w:rsidR="007D7D25" w:rsidRDefault="007D7D25" w:rsidP="00041E45">
      <w:pPr>
        <w:jc w:val="both"/>
        <w:rPr>
          <w:rFonts w:ascii="Tahoma" w:hAnsi="Tahoma" w:cs="Tahoma"/>
        </w:rPr>
      </w:pPr>
      <w:r>
        <w:rPr>
          <w:rFonts w:ascii="Tahoma" w:hAnsi="Tahoma" w:cs="Tahoma"/>
        </w:rPr>
        <w:t xml:space="preserve">Sur cette unité de temps, on peut remarquer l’aplatissement de la TS et de la KS. La forme de ces courbes </w:t>
      </w:r>
      <w:r w:rsidR="00E93EA1">
        <w:rPr>
          <w:rFonts w:ascii="Tahoma" w:hAnsi="Tahoma" w:cs="Tahoma"/>
        </w:rPr>
        <w:t>indique</w:t>
      </w:r>
      <w:r>
        <w:rPr>
          <w:rFonts w:ascii="Tahoma" w:hAnsi="Tahoma" w:cs="Tahoma"/>
        </w:rPr>
        <w:t xml:space="preserve"> que le marché n’est plus en mouvement. Ce contexte limite le potentiel de baisse en cassure de 125.63. Une rupture franche de 124.</w:t>
      </w:r>
      <w:r w:rsidR="00E20906">
        <w:rPr>
          <w:rFonts w:ascii="Tahoma" w:hAnsi="Tahoma" w:cs="Tahoma"/>
        </w:rPr>
        <w:t>25</w:t>
      </w:r>
      <w:r>
        <w:rPr>
          <w:rFonts w:ascii="Tahoma" w:hAnsi="Tahoma" w:cs="Tahoma"/>
        </w:rPr>
        <w:t xml:space="preserve"> permettra à la TS de reprendre une direction descendante</w:t>
      </w:r>
      <w:r w:rsidR="00E20906">
        <w:rPr>
          <w:rFonts w:ascii="Tahoma" w:hAnsi="Tahoma" w:cs="Tahoma"/>
        </w:rPr>
        <w:t xml:space="preserve">, </w:t>
      </w:r>
      <w:r w:rsidR="00380CB1">
        <w:rPr>
          <w:rFonts w:ascii="Tahoma" w:hAnsi="Tahoma" w:cs="Tahoma"/>
        </w:rPr>
        <w:t>prémices</w:t>
      </w:r>
      <w:r>
        <w:rPr>
          <w:rFonts w:ascii="Tahoma" w:hAnsi="Tahoma" w:cs="Tahoma"/>
        </w:rPr>
        <w:t xml:space="preserve"> </w:t>
      </w:r>
      <w:r w:rsidR="00E20906">
        <w:rPr>
          <w:rFonts w:ascii="Tahoma" w:hAnsi="Tahoma" w:cs="Tahoma"/>
        </w:rPr>
        <w:t>d’</w:t>
      </w:r>
      <w:r>
        <w:rPr>
          <w:rFonts w:ascii="Tahoma" w:hAnsi="Tahoma" w:cs="Tahoma"/>
        </w:rPr>
        <w:t xml:space="preserve">un retour </w:t>
      </w:r>
      <w:r w:rsidR="00E20906">
        <w:rPr>
          <w:rFonts w:ascii="Tahoma" w:hAnsi="Tahoma" w:cs="Tahoma"/>
        </w:rPr>
        <w:t>à une</w:t>
      </w:r>
      <w:r>
        <w:rPr>
          <w:rFonts w:ascii="Tahoma" w:hAnsi="Tahoma" w:cs="Tahoma"/>
        </w:rPr>
        <w:t xml:space="preserve"> dynamique baissière.</w:t>
      </w:r>
    </w:p>
    <w:p w14:paraId="2F0CCA6A" w14:textId="084C79EE" w:rsidR="007D7D25" w:rsidRDefault="007D7D25" w:rsidP="00041E45">
      <w:pPr>
        <w:jc w:val="both"/>
        <w:rPr>
          <w:rFonts w:ascii="Tahoma" w:hAnsi="Tahoma" w:cs="Tahoma"/>
        </w:rPr>
      </w:pPr>
      <w:r>
        <w:rPr>
          <w:rFonts w:ascii="Tahoma" w:hAnsi="Tahoma" w:cs="Tahoma"/>
        </w:rPr>
        <w:t>A l’opposé, le plat de KS de 129.60 se prolongera plusieurs mois et servira de résistance dans l’éventualité d’un retour du courant acheteur.</w:t>
      </w:r>
    </w:p>
    <w:p w14:paraId="37AE12B1" w14:textId="518DE216" w:rsidR="00391803" w:rsidRDefault="00391803" w:rsidP="00041E45">
      <w:pPr>
        <w:jc w:val="both"/>
        <w:rPr>
          <w:rFonts w:ascii="Tahoma" w:hAnsi="Tahoma" w:cs="Tahoma"/>
        </w:rPr>
      </w:pPr>
      <w:r>
        <w:rPr>
          <w:rFonts w:ascii="Tahoma" w:hAnsi="Tahoma" w:cs="Tahoma"/>
        </w:rPr>
        <w:t xml:space="preserve">La dernière chandelle du mois d’avril n’a pas de personnalité particulière. Elle </w:t>
      </w:r>
      <w:r w:rsidR="00BD7B0C">
        <w:rPr>
          <w:rFonts w:ascii="Tahoma" w:hAnsi="Tahoma" w:cs="Tahoma"/>
        </w:rPr>
        <w:t>ne</w:t>
      </w:r>
      <w:r w:rsidR="001975CB">
        <w:rPr>
          <w:rFonts w:ascii="Tahoma" w:hAnsi="Tahoma" w:cs="Tahoma"/>
        </w:rPr>
        <w:t xml:space="preserve"> prolonge pas la baisse du mois de mars et elle ne</w:t>
      </w:r>
      <w:r w:rsidR="00BD7B0C">
        <w:rPr>
          <w:rFonts w:ascii="Tahoma" w:hAnsi="Tahoma" w:cs="Tahoma"/>
        </w:rPr>
        <w:t xml:space="preserve"> </w:t>
      </w:r>
      <w:r w:rsidR="00EE3DD7">
        <w:rPr>
          <w:rFonts w:ascii="Tahoma" w:hAnsi="Tahoma" w:cs="Tahoma"/>
        </w:rPr>
        <w:t xml:space="preserve">la </w:t>
      </w:r>
      <w:r w:rsidR="00BD7B0C">
        <w:rPr>
          <w:rFonts w:ascii="Tahoma" w:hAnsi="Tahoma" w:cs="Tahoma"/>
        </w:rPr>
        <w:t>remet pas en question</w:t>
      </w:r>
      <w:r w:rsidR="005517A5">
        <w:rPr>
          <w:rFonts w:ascii="Tahoma" w:hAnsi="Tahoma" w:cs="Tahoma"/>
        </w:rPr>
        <w:t>. Elle s’inscrit dans un environnement incertain en attente d’information</w:t>
      </w:r>
      <w:r w:rsidR="00380CB1">
        <w:rPr>
          <w:rFonts w:ascii="Tahoma" w:hAnsi="Tahoma" w:cs="Tahoma"/>
        </w:rPr>
        <w:t>s</w:t>
      </w:r>
      <w:r w:rsidR="005517A5">
        <w:rPr>
          <w:rFonts w:ascii="Tahoma" w:hAnsi="Tahoma" w:cs="Tahoma"/>
        </w:rPr>
        <w:t xml:space="preserve"> plus précises sur </w:t>
      </w:r>
      <w:r w:rsidR="00EE3DD7">
        <w:rPr>
          <w:rFonts w:ascii="Tahoma" w:hAnsi="Tahoma" w:cs="Tahoma"/>
        </w:rPr>
        <w:t xml:space="preserve">le développement </w:t>
      </w:r>
      <w:r w:rsidR="00380CB1">
        <w:rPr>
          <w:rFonts w:ascii="Tahoma" w:hAnsi="Tahoma" w:cs="Tahoma"/>
        </w:rPr>
        <w:t xml:space="preserve">du contexte </w:t>
      </w:r>
      <w:r w:rsidR="00EE3DD7">
        <w:rPr>
          <w:rFonts w:ascii="Tahoma" w:hAnsi="Tahoma" w:cs="Tahoma"/>
        </w:rPr>
        <w:t>géopolitique et son impact sur l’inflation.</w:t>
      </w:r>
      <w:r w:rsidR="005517A5">
        <w:rPr>
          <w:rFonts w:ascii="Tahoma" w:hAnsi="Tahoma" w:cs="Tahoma"/>
        </w:rPr>
        <w:t xml:space="preserve"> </w:t>
      </w:r>
    </w:p>
    <w:p w14:paraId="299D291C" w14:textId="77777777" w:rsidR="009A71D7" w:rsidRDefault="009A71D7" w:rsidP="00041E45">
      <w:pPr>
        <w:jc w:val="both"/>
        <w:rPr>
          <w:rFonts w:ascii="Tahoma" w:hAnsi="Tahoma" w:cs="Tahoma"/>
        </w:rPr>
      </w:pPr>
    </w:p>
    <w:p w14:paraId="5934FAF3" w14:textId="77777777" w:rsidR="009A71D7" w:rsidRDefault="009A71D7" w:rsidP="00041E45">
      <w:pPr>
        <w:jc w:val="both"/>
        <w:rPr>
          <w:rFonts w:ascii="Tahoma" w:hAnsi="Tahoma" w:cs="Tahoma"/>
        </w:rPr>
      </w:pPr>
    </w:p>
    <w:p w14:paraId="258EB8FF" w14:textId="3A559A9A" w:rsidR="00B94D71" w:rsidRDefault="00B94D71" w:rsidP="00C82B1E">
      <w:pPr>
        <w:spacing w:after="0"/>
        <w:jc w:val="both"/>
        <w:rPr>
          <w:rFonts w:ascii="Tahoma" w:hAnsi="Tahoma" w:cs="Tahoma"/>
        </w:rPr>
      </w:pPr>
      <w:r>
        <w:rPr>
          <w:rFonts w:ascii="Tahoma" w:hAnsi="Tahoma" w:cs="Tahoma"/>
          <w:u w:val="single"/>
        </w:rPr>
        <w:lastRenderedPageBreak/>
        <w:t>CONCLUSION</w:t>
      </w:r>
      <w:r>
        <w:rPr>
          <w:rFonts w:ascii="Tahoma" w:hAnsi="Tahoma" w:cs="Tahoma"/>
        </w:rPr>
        <w:t> :</w:t>
      </w:r>
      <w:r w:rsidR="00EE3DD7">
        <w:rPr>
          <w:rFonts w:ascii="Tahoma" w:hAnsi="Tahoma" w:cs="Tahoma"/>
        </w:rPr>
        <w:t xml:space="preserve"> 125.63 sera un pivot pour les séances à venir. La hausse récente devra être maintenue </w:t>
      </w:r>
      <w:r w:rsidR="00E93EA1">
        <w:rPr>
          <w:rFonts w:ascii="Tahoma" w:hAnsi="Tahoma" w:cs="Tahoma"/>
        </w:rPr>
        <w:t>au-dessus</w:t>
      </w:r>
      <w:r w:rsidR="00EE3DD7">
        <w:rPr>
          <w:rFonts w:ascii="Tahoma" w:hAnsi="Tahoma" w:cs="Tahoma"/>
        </w:rPr>
        <w:t xml:space="preserve"> de 124.96 et validée par un dépassement de 125.45 pour envisager un retour des prix sur la résistance de 126.85.</w:t>
      </w:r>
    </w:p>
    <w:p w14:paraId="29F5C433" w14:textId="18B97972" w:rsidR="00015CE7" w:rsidRDefault="00015CE7" w:rsidP="00B94D71">
      <w:pPr>
        <w:jc w:val="both"/>
        <w:rPr>
          <w:rFonts w:ascii="Tahoma" w:hAnsi="Tahoma" w:cs="Tahoma"/>
        </w:rPr>
      </w:pPr>
      <w:r>
        <w:rPr>
          <w:rFonts w:ascii="Tahoma" w:hAnsi="Tahoma" w:cs="Tahoma"/>
        </w:rPr>
        <w:t>Pas de reprise de la baisse tant que, sur le court terme, 124.</w:t>
      </w:r>
      <w:r w:rsidR="009756FD">
        <w:rPr>
          <w:rFonts w:ascii="Tahoma" w:hAnsi="Tahoma" w:cs="Tahoma"/>
        </w:rPr>
        <w:t>25</w:t>
      </w:r>
      <w:r>
        <w:rPr>
          <w:rFonts w:ascii="Tahoma" w:hAnsi="Tahoma" w:cs="Tahoma"/>
        </w:rPr>
        <w:t xml:space="preserve"> servira de support. </w:t>
      </w:r>
    </w:p>
    <w:p w14:paraId="03A287A5" w14:textId="77777777" w:rsidR="00EE3DD7" w:rsidRDefault="00EE3DD7" w:rsidP="00B94D71">
      <w:pPr>
        <w:jc w:val="both"/>
        <w:rPr>
          <w:rFonts w:ascii="Tahoma" w:hAnsi="Tahoma" w:cs="Tahoma"/>
        </w:rPr>
      </w:pP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5CE7"/>
    <w:rsid w:val="00016493"/>
    <w:rsid w:val="0002580A"/>
    <w:rsid w:val="00041E45"/>
    <w:rsid w:val="000524C5"/>
    <w:rsid w:val="000556C3"/>
    <w:rsid w:val="000833FB"/>
    <w:rsid w:val="00092058"/>
    <w:rsid w:val="000938CC"/>
    <w:rsid w:val="000B221E"/>
    <w:rsid w:val="000B7DFC"/>
    <w:rsid w:val="000C0DE4"/>
    <w:rsid w:val="000D4ED3"/>
    <w:rsid w:val="000F3960"/>
    <w:rsid w:val="001018AD"/>
    <w:rsid w:val="00103ED4"/>
    <w:rsid w:val="00105B4E"/>
    <w:rsid w:val="00134AFA"/>
    <w:rsid w:val="00135766"/>
    <w:rsid w:val="0014687D"/>
    <w:rsid w:val="0015581D"/>
    <w:rsid w:val="00163C46"/>
    <w:rsid w:val="001705F4"/>
    <w:rsid w:val="00190995"/>
    <w:rsid w:val="001975CB"/>
    <w:rsid w:val="001A4796"/>
    <w:rsid w:val="001D474B"/>
    <w:rsid w:val="001F650A"/>
    <w:rsid w:val="002003AD"/>
    <w:rsid w:val="002421FE"/>
    <w:rsid w:val="00262E25"/>
    <w:rsid w:val="00263ED0"/>
    <w:rsid w:val="002A1F8E"/>
    <w:rsid w:val="002B3581"/>
    <w:rsid w:val="002B5CB1"/>
    <w:rsid w:val="002C0A31"/>
    <w:rsid w:val="002C7A4A"/>
    <w:rsid w:val="002F54B0"/>
    <w:rsid w:val="00303214"/>
    <w:rsid w:val="0030643B"/>
    <w:rsid w:val="00337611"/>
    <w:rsid w:val="00340FD9"/>
    <w:rsid w:val="00352DD9"/>
    <w:rsid w:val="003706D4"/>
    <w:rsid w:val="003767E0"/>
    <w:rsid w:val="00380CB1"/>
    <w:rsid w:val="00391803"/>
    <w:rsid w:val="00397D3D"/>
    <w:rsid w:val="003A3626"/>
    <w:rsid w:val="0040171B"/>
    <w:rsid w:val="0040295D"/>
    <w:rsid w:val="00413443"/>
    <w:rsid w:val="0041790D"/>
    <w:rsid w:val="00467005"/>
    <w:rsid w:val="004A2D2D"/>
    <w:rsid w:val="004A5154"/>
    <w:rsid w:val="004F48EE"/>
    <w:rsid w:val="00531928"/>
    <w:rsid w:val="005440A4"/>
    <w:rsid w:val="00546A5A"/>
    <w:rsid w:val="005517A5"/>
    <w:rsid w:val="005640E4"/>
    <w:rsid w:val="00566580"/>
    <w:rsid w:val="00567AF3"/>
    <w:rsid w:val="00583BC8"/>
    <w:rsid w:val="005D21DA"/>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7D7D25"/>
    <w:rsid w:val="0083454A"/>
    <w:rsid w:val="00837B38"/>
    <w:rsid w:val="00881609"/>
    <w:rsid w:val="00896554"/>
    <w:rsid w:val="008A7407"/>
    <w:rsid w:val="008F10C2"/>
    <w:rsid w:val="00902D2F"/>
    <w:rsid w:val="00961FDF"/>
    <w:rsid w:val="009756FD"/>
    <w:rsid w:val="00983B7D"/>
    <w:rsid w:val="009A37C2"/>
    <w:rsid w:val="009A71D7"/>
    <w:rsid w:val="009C0C4B"/>
    <w:rsid w:val="009F3AB8"/>
    <w:rsid w:val="00A11606"/>
    <w:rsid w:val="00A444C0"/>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BD7B0C"/>
    <w:rsid w:val="00C17ED7"/>
    <w:rsid w:val="00C406A1"/>
    <w:rsid w:val="00C41F15"/>
    <w:rsid w:val="00C70171"/>
    <w:rsid w:val="00C70A68"/>
    <w:rsid w:val="00C82B1E"/>
    <w:rsid w:val="00C82E98"/>
    <w:rsid w:val="00CB17C9"/>
    <w:rsid w:val="00CC72FF"/>
    <w:rsid w:val="00CC7C21"/>
    <w:rsid w:val="00CE0886"/>
    <w:rsid w:val="00CF2516"/>
    <w:rsid w:val="00CF6D63"/>
    <w:rsid w:val="00D23B28"/>
    <w:rsid w:val="00D30FB8"/>
    <w:rsid w:val="00D42BA5"/>
    <w:rsid w:val="00D46C8D"/>
    <w:rsid w:val="00DA1359"/>
    <w:rsid w:val="00DD23A4"/>
    <w:rsid w:val="00DE5444"/>
    <w:rsid w:val="00DF072F"/>
    <w:rsid w:val="00E20906"/>
    <w:rsid w:val="00E32014"/>
    <w:rsid w:val="00E3727C"/>
    <w:rsid w:val="00E93EA1"/>
    <w:rsid w:val="00E9592A"/>
    <w:rsid w:val="00EB58BA"/>
    <w:rsid w:val="00EE3DD7"/>
    <w:rsid w:val="00EE6B93"/>
    <w:rsid w:val="00F04A6E"/>
    <w:rsid w:val="00F04DEF"/>
    <w:rsid w:val="00F31070"/>
    <w:rsid w:val="00F53F10"/>
    <w:rsid w:val="00F636F8"/>
    <w:rsid w:val="00FA2C8E"/>
    <w:rsid w:val="00FA5156"/>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TotalTime>
  <Pages>4</Pages>
  <Words>705</Words>
  <Characters>3880</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120</cp:revision>
  <dcterms:created xsi:type="dcterms:W3CDTF">2021-11-25T09:44:00Z</dcterms:created>
  <dcterms:modified xsi:type="dcterms:W3CDTF">2026-05-03T16:49:00Z</dcterms:modified>
</cp:coreProperties>
</file>