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23604B11" w14:textId="16B03C7E" w:rsidR="00A444C0" w:rsidRPr="00041E45" w:rsidRDefault="00D35B6A" w:rsidP="00A444C0">
      <w:pPr>
        <w:jc w:val="both"/>
        <w:rPr>
          <w:rFonts w:ascii="Tahoma" w:hAnsi="Tahoma" w:cs="Tahoma"/>
          <w:sz w:val="32"/>
          <w:szCs w:val="32"/>
          <w:u w:val="single"/>
        </w:rPr>
      </w:pPr>
      <w:r>
        <w:rPr>
          <w:rFonts w:ascii="Tahoma" w:hAnsi="Tahoma" w:cs="Tahoma"/>
          <w:sz w:val="32"/>
          <w:szCs w:val="32"/>
          <w:u w:val="single"/>
        </w:rPr>
        <w:t>Day</w:t>
      </w:r>
    </w:p>
    <w:p w14:paraId="402C9A9A" w14:textId="259D4C97" w:rsidR="00A444C0" w:rsidRDefault="00C812D4" w:rsidP="00A444C0">
      <w:pPr>
        <w:jc w:val="both"/>
        <w:rPr>
          <w:rFonts w:ascii="Tahoma" w:hAnsi="Tahoma" w:cs="Tahoma"/>
        </w:rPr>
      </w:pPr>
      <w:r>
        <w:rPr>
          <w:noProof/>
        </w:rPr>
        <w:drawing>
          <wp:inline distT="0" distB="0" distL="0" distR="0" wp14:anchorId="2D3930F0" wp14:editId="4D0F5A2A">
            <wp:extent cx="5760720" cy="4320540"/>
            <wp:effectExtent l="0" t="0" r="0" b="3810"/>
            <wp:docPr id="16393282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00769237" w14:textId="201BF340" w:rsidR="00A444C0" w:rsidRDefault="00A444C0" w:rsidP="00C921E3">
      <w:pPr>
        <w:spacing w:after="0"/>
        <w:jc w:val="both"/>
        <w:rPr>
          <w:rFonts w:ascii="Tahoma" w:hAnsi="Tahoma" w:cs="Tahoma"/>
        </w:rPr>
      </w:pPr>
      <w:r>
        <w:rPr>
          <w:rFonts w:ascii="Tahoma" w:hAnsi="Tahoma" w:cs="Tahoma"/>
        </w:rPr>
        <w:t xml:space="preserve"> </w:t>
      </w:r>
      <w:r w:rsidR="004F50FA">
        <w:rPr>
          <w:rFonts w:ascii="Tahoma" w:hAnsi="Tahoma" w:cs="Tahoma"/>
        </w:rPr>
        <w:t>J’évoquais la semaine dernière un contexte favorable à une poursuite de la baisse en direction du support de long terme de 120.21.</w:t>
      </w:r>
    </w:p>
    <w:p w14:paraId="2CD75E83" w14:textId="7C88FBB8" w:rsidR="00993D33" w:rsidRDefault="00993D33" w:rsidP="00A444C0">
      <w:pPr>
        <w:jc w:val="both"/>
        <w:rPr>
          <w:rFonts w:ascii="Tahoma" w:hAnsi="Tahoma" w:cs="Tahoma"/>
        </w:rPr>
      </w:pPr>
      <w:r>
        <w:rPr>
          <w:rFonts w:ascii="Tahoma" w:hAnsi="Tahoma" w:cs="Tahoma"/>
        </w:rPr>
        <w:t xml:space="preserve">Comme </w:t>
      </w:r>
      <w:r w:rsidR="00F21B74">
        <w:rPr>
          <w:rFonts w:ascii="Tahoma" w:hAnsi="Tahoma" w:cs="Tahoma"/>
        </w:rPr>
        <w:t>nous pouvons</w:t>
      </w:r>
      <w:r>
        <w:rPr>
          <w:rFonts w:ascii="Tahoma" w:hAnsi="Tahoma" w:cs="Tahoma"/>
        </w:rPr>
        <w:t xml:space="preserve"> le constater aujourd’hui, le marché m’a donné tor</w:t>
      </w:r>
      <w:r w:rsidR="006F68A3">
        <w:rPr>
          <w:rFonts w:ascii="Tahoma" w:hAnsi="Tahoma" w:cs="Tahoma"/>
        </w:rPr>
        <w:t>t</w:t>
      </w:r>
      <w:r>
        <w:rPr>
          <w:rFonts w:ascii="Tahoma" w:hAnsi="Tahoma" w:cs="Tahoma"/>
        </w:rPr>
        <w:t xml:space="preserve"> et après un nouveau bas à 123.74, les cours </w:t>
      </w:r>
      <w:r w:rsidR="00F21B74">
        <w:rPr>
          <w:rFonts w:ascii="Tahoma" w:hAnsi="Tahoma" w:cs="Tahoma"/>
        </w:rPr>
        <w:t>ont</w:t>
      </w:r>
      <w:r>
        <w:rPr>
          <w:rFonts w:ascii="Tahoma" w:hAnsi="Tahoma" w:cs="Tahoma"/>
        </w:rPr>
        <w:t xml:space="preserve"> rebondi pour revenir sous l’ancien support de long terme de 125.63 (ce </w:t>
      </w:r>
      <w:r w:rsidR="00F21B74">
        <w:rPr>
          <w:rFonts w:ascii="Tahoma" w:hAnsi="Tahoma" w:cs="Tahoma"/>
        </w:rPr>
        <w:t>qui ne fait pas</w:t>
      </w:r>
      <w:r>
        <w:rPr>
          <w:rFonts w:ascii="Tahoma" w:hAnsi="Tahoma" w:cs="Tahoma"/>
        </w:rPr>
        <w:t xml:space="preserve"> loin de deux figures</w:t>
      </w:r>
      <w:r w:rsidR="00C921E3">
        <w:rPr>
          <w:rFonts w:ascii="Tahoma" w:hAnsi="Tahoma" w:cs="Tahoma"/>
        </w:rPr>
        <w:t>).</w:t>
      </w:r>
    </w:p>
    <w:p w14:paraId="4FEC17A2" w14:textId="769B72C4" w:rsidR="006F68A3" w:rsidRDefault="006F68A3" w:rsidP="00A444C0">
      <w:pPr>
        <w:jc w:val="both"/>
        <w:rPr>
          <w:rFonts w:ascii="Tahoma" w:hAnsi="Tahoma" w:cs="Tahoma"/>
        </w:rPr>
      </w:pPr>
      <w:r>
        <w:rPr>
          <w:rFonts w:ascii="Tahoma" w:hAnsi="Tahoma" w:cs="Tahoma"/>
        </w:rPr>
        <w:t xml:space="preserve">Dans le contexte incertain lié au développement géopolitique et aux avancées de paix au Moyen Orient, la seule certitude que l’on pouvait avoir la semaine dernière se basait sur la logique de l’inversion des polarités. En effet, le maintien des prix sous la borne basse de la consolidation de 124.43 devait dans un environnement de poursuite de tendance, inciter les investisseurs à ouvrir des positions shorts (nouvelles ou </w:t>
      </w:r>
      <w:r w:rsidR="006D1B3E">
        <w:rPr>
          <w:rFonts w:ascii="Tahoma" w:hAnsi="Tahoma" w:cs="Tahoma"/>
        </w:rPr>
        <w:t>additionnelles) en retour des cours.</w:t>
      </w:r>
    </w:p>
    <w:p w14:paraId="14A8ABA7" w14:textId="448EC9DB" w:rsidR="006D1B3E" w:rsidRDefault="006D1B3E" w:rsidP="00A444C0">
      <w:pPr>
        <w:jc w:val="both"/>
        <w:rPr>
          <w:rFonts w:ascii="Tahoma" w:hAnsi="Tahoma" w:cs="Tahoma"/>
        </w:rPr>
      </w:pPr>
      <w:r>
        <w:rPr>
          <w:rFonts w:ascii="Tahoma" w:hAnsi="Tahoma" w:cs="Tahoma"/>
        </w:rPr>
        <w:t xml:space="preserve">Comme on peut le constater, la résistance de 124.43 a tenu deux </w:t>
      </w:r>
      <w:r w:rsidR="00F21B74">
        <w:rPr>
          <w:rFonts w:ascii="Tahoma" w:hAnsi="Tahoma" w:cs="Tahoma"/>
        </w:rPr>
        <w:t>séances</w:t>
      </w:r>
      <w:r>
        <w:rPr>
          <w:rFonts w:ascii="Tahoma" w:hAnsi="Tahoma" w:cs="Tahoma"/>
        </w:rPr>
        <w:t xml:space="preserve"> avant d’</w:t>
      </w:r>
      <w:r w:rsidR="00F21B74">
        <w:rPr>
          <w:rFonts w:ascii="Tahoma" w:hAnsi="Tahoma" w:cs="Tahoma"/>
        </w:rPr>
        <w:t>être</w:t>
      </w:r>
      <w:r>
        <w:rPr>
          <w:rFonts w:ascii="Tahoma" w:hAnsi="Tahoma" w:cs="Tahoma"/>
        </w:rPr>
        <w:t xml:space="preserve"> largement dépassé</w:t>
      </w:r>
      <w:r w:rsidR="00CF1882">
        <w:rPr>
          <w:rFonts w:ascii="Tahoma" w:hAnsi="Tahoma" w:cs="Tahoma"/>
        </w:rPr>
        <w:t>e</w:t>
      </w:r>
      <w:r>
        <w:rPr>
          <w:rFonts w:ascii="Tahoma" w:hAnsi="Tahoma" w:cs="Tahoma"/>
        </w:rPr>
        <w:t xml:space="preserve"> mercredi dernier. Les nouvelles positives ne sont pas </w:t>
      </w:r>
      <w:r w:rsidR="00F21B74">
        <w:rPr>
          <w:rFonts w:ascii="Tahoma" w:hAnsi="Tahoma" w:cs="Tahoma"/>
        </w:rPr>
        <w:t>étrangères</w:t>
      </w:r>
      <w:r>
        <w:rPr>
          <w:rFonts w:ascii="Tahoma" w:hAnsi="Tahoma" w:cs="Tahoma"/>
        </w:rPr>
        <w:t xml:space="preserve"> à cette réaction. Elle nous averti que la fin du conflit Iran/Usa se traduira dans un premier temps par une forte hausse susceptible de ramener les cours sous la résistance de moyen terme de 130.16.</w:t>
      </w:r>
    </w:p>
    <w:p w14:paraId="376DA12F" w14:textId="77777777" w:rsidR="00CE7214" w:rsidRDefault="00CE7214" w:rsidP="00A444C0">
      <w:pPr>
        <w:jc w:val="both"/>
        <w:rPr>
          <w:rFonts w:ascii="Tahoma" w:hAnsi="Tahoma" w:cs="Tahoma"/>
        </w:rPr>
      </w:pPr>
    </w:p>
    <w:p w14:paraId="53EAFFF9" w14:textId="79F972E7" w:rsidR="0091071F" w:rsidRDefault="00F21B74" w:rsidP="00A444C0">
      <w:pPr>
        <w:jc w:val="both"/>
        <w:rPr>
          <w:rFonts w:ascii="Tahoma" w:hAnsi="Tahoma" w:cs="Tahoma"/>
        </w:rPr>
      </w:pPr>
      <w:r>
        <w:rPr>
          <w:rFonts w:ascii="Tahoma" w:hAnsi="Tahoma" w:cs="Tahoma"/>
        </w:rPr>
        <w:lastRenderedPageBreak/>
        <w:t>Voilà</w:t>
      </w:r>
      <w:r w:rsidR="0091071F">
        <w:rPr>
          <w:rFonts w:ascii="Tahoma" w:hAnsi="Tahoma" w:cs="Tahoma"/>
        </w:rPr>
        <w:t xml:space="preserve"> pour ce qui tient de l’observation. Quant au technique, il reste toujours favorable à la baisse. Les prix sont sous le nuage, la LS sous ses cours et la TS se maintient sous la KS.</w:t>
      </w:r>
    </w:p>
    <w:p w14:paraId="4A481035" w14:textId="2E3E9537" w:rsidR="00CE7214" w:rsidRDefault="0091071F" w:rsidP="00A444C0">
      <w:pPr>
        <w:jc w:val="both"/>
        <w:rPr>
          <w:rFonts w:ascii="Tahoma" w:hAnsi="Tahoma" w:cs="Tahoma"/>
        </w:rPr>
      </w:pPr>
      <w:r>
        <w:rPr>
          <w:rFonts w:ascii="Tahoma" w:hAnsi="Tahoma" w:cs="Tahoma"/>
        </w:rPr>
        <w:t xml:space="preserve">Un plat de KS sur 125.00 se développe. Il </w:t>
      </w:r>
      <w:r w:rsidR="008C06CD">
        <w:rPr>
          <w:rFonts w:ascii="Tahoma" w:hAnsi="Tahoma" w:cs="Tahoma"/>
        </w:rPr>
        <w:t xml:space="preserve">se </w:t>
      </w:r>
      <w:r>
        <w:rPr>
          <w:rFonts w:ascii="Tahoma" w:hAnsi="Tahoma" w:cs="Tahoma"/>
        </w:rPr>
        <w:t xml:space="preserve">poursuivra </w:t>
      </w:r>
      <w:r w:rsidR="00CE7214">
        <w:rPr>
          <w:rFonts w:ascii="Tahoma" w:hAnsi="Tahoma" w:cs="Tahoma"/>
        </w:rPr>
        <w:t xml:space="preserve">un certain temps et servira de force de rappel. Cela tant que le marché ne sera pas établi </w:t>
      </w:r>
      <w:r w:rsidR="00F21B74">
        <w:rPr>
          <w:rFonts w:ascii="Tahoma" w:hAnsi="Tahoma" w:cs="Tahoma"/>
        </w:rPr>
        <w:t>au-dessus</w:t>
      </w:r>
      <w:r w:rsidR="00CE7214">
        <w:rPr>
          <w:rFonts w:ascii="Tahoma" w:hAnsi="Tahoma" w:cs="Tahoma"/>
        </w:rPr>
        <w:t xml:space="preserve"> de 126.21, borne haute de la dérive latérale (je continuerai à utiliser cette dérive latérale car la cassure s’est traduite par faux signal de sortie).</w:t>
      </w:r>
    </w:p>
    <w:p w14:paraId="0029A20E" w14:textId="7BF813B5" w:rsidR="00C921E3" w:rsidRDefault="00CE7214" w:rsidP="00A444C0">
      <w:pPr>
        <w:jc w:val="both"/>
        <w:rPr>
          <w:rFonts w:ascii="Tahoma" w:hAnsi="Tahoma" w:cs="Tahoma"/>
        </w:rPr>
      </w:pPr>
      <w:r>
        <w:rPr>
          <w:rFonts w:ascii="Tahoma" w:hAnsi="Tahoma" w:cs="Tahoma"/>
        </w:rPr>
        <w:t>L</w:t>
      </w:r>
      <w:r w:rsidR="0091071F">
        <w:rPr>
          <w:rFonts w:ascii="Tahoma" w:hAnsi="Tahoma" w:cs="Tahoma"/>
        </w:rPr>
        <w:t>e dépassement du plat de KS de 125.00</w:t>
      </w:r>
      <w:r>
        <w:rPr>
          <w:rFonts w:ascii="Tahoma" w:hAnsi="Tahoma" w:cs="Tahoma"/>
        </w:rPr>
        <w:t xml:space="preserve"> est positif. En tenu</w:t>
      </w:r>
      <w:r w:rsidR="0046586F">
        <w:rPr>
          <w:rFonts w:ascii="Tahoma" w:hAnsi="Tahoma" w:cs="Tahoma"/>
        </w:rPr>
        <w:t>e</w:t>
      </w:r>
      <w:r>
        <w:rPr>
          <w:rFonts w:ascii="Tahoma" w:hAnsi="Tahoma" w:cs="Tahoma"/>
        </w:rPr>
        <w:t xml:space="preserve">, la cible sera </w:t>
      </w:r>
      <w:r w:rsidR="00A0231F">
        <w:rPr>
          <w:rFonts w:ascii="Tahoma" w:hAnsi="Tahoma" w:cs="Tahoma"/>
        </w:rPr>
        <w:t xml:space="preserve">dans un premier temps </w:t>
      </w:r>
      <w:r>
        <w:rPr>
          <w:rFonts w:ascii="Tahoma" w:hAnsi="Tahoma" w:cs="Tahoma"/>
        </w:rPr>
        <w:t>126.21</w:t>
      </w:r>
      <w:r w:rsidR="00A0231F">
        <w:rPr>
          <w:rFonts w:ascii="Tahoma" w:hAnsi="Tahoma" w:cs="Tahoma"/>
        </w:rPr>
        <w:t xml:space="preserve"> et en dépassement 126.85. Résistance importante </w:t>
      </w:r>
      <w:r w:rsidR="006D0942">
        <w:rPr>
          <w:rFonts w:ascii="Tahoma" w:hAnsi="Tahoma" w:cs="Tahoma"/>
        </w:rPr>
        <w:t xml:space="preserve">et difficilement franchissable </w:t>
      </w:r>
      <w:r w:rsidR="00A0231F">
        <w:rPr>
          <w:rFonts w:ascii="Tahoma" w:hAnsi="Tahoma" w:cs="Tahoma"/>
        </w:rPr>
        <w:t xml:space="preserve">car elle représente un long plat de SSB ainsi qu’un plat de KS passée. </w:t>
      </w:r>
    </w:p>
    <w:p w14:paraId="2D62C1F6" w14:textId="779B3D52" w:rsidR="0001032B" w:rsidRDefault="0001032B" w:rsidP="00A444C0">
      <w:pPr>
        <w:jc w:val="both"/>
        <w:rPr>
          <w:rFonts w:ascii="Tahoma" w:hAnsi="Tahoma" w:cs="Tahoma"/>
        </w:rPr>
      </w:pPr>
      <w:r>
        <w:rPr>
          <w:rFonts w:ascii="Tahoma" w:hAnsi="Tahoma" w:cs="Tahoma"/>
        </w:rPr>
        <w:t>Les chandeliers montrent la formation d’un support relativement important sur les niveaux de 123.90</w:t>
      </w:r>
      <w:r w:rsidR="0075049C">
        <w:rPr>
          <w:rFonts w:ascii="Tahoma" w:hAnsi="Tahoma" w:cs="Tahoma"/>
        </w:rPr>
        <w:t xml:space="preserve">. </w:t>
      </w:r>
      <w:r w:rsidR="008C06CD">
        <w:rPr>
          <w:rFonts w:ascii="Tahoma" w:hAnsi="Tahoma" w:cs="Tahoma"/>
        </w:rPr>
        <w:t>L</w:t>
      </w:r>
      <w:r w:rsidR="0075049C">
        <w:rPr>
          <w:rFonts w:ascii="Tahoma" w:hAnsi="Tahoma" w:cs="Tahoma"/>
        </w:rPr>
        <w:t>’</w:t>
      </w:r>
      <w:r w:rsidR="00F21B74">
        <w:rPr>
          <w:rFonts w:ascii="Tahoma" w:hAnsi="Tahoma" w:cs="Tahoma"/>
        </w:rPr>
        <w:t>impossibilité</w:t>
      </w:r>
      <w:r w:rsidR="0075049C">
        <w:rPr>
          <w:rFonts w:ascii="Tahoma" w:hAnsi="Tahoma" w:cs="Tahoma"/>
        </w:rPr>
        <w:t xml:space="preserve"> d’enfoncer</w:t>
      </w:r>
      <w:r w:rsidR="00474EDD">
        <w:rPr>
          <w:rFonts w:ascii="Tahoma" w:hAnsi="Tahoma" w:cs="Tahoma"/>
        </w:rPr>
        <w:t xml:space="preserve"> </w:t>
      </w:r>
      <w:r w:rsidR="0075049C">
        <w:rPr>
          <w:rFonts w:ascii="Tahoma" w:hAnsi="Tahoma" w:cs="Tahoma"/>
        </w:rPr>
        <w:t xml:space="preserve">cette zone </w:t>
      </w:r>
      <w:r w:rsidR="008C06CD">
        <w:rPr>
          <w:rFonts w:ascii="Tahoma" w:hAnsi="Tahoma" w:cs="Tahoma"/>
        </w:rPr>
        <w:t xml:space="preserve">sur 3 séances </w:t>
      </w:r>
      <w:r w:rsidR="00474EDD">
        <w:rPr>
          <w:rFonts w:ascii="Tahoma" w:hAnsi="Tahoma" w:cs="Tahoma"/>
        </w:rPr>
        <w:t xml:space="preserve">a engendré le rebond qui a ramené le contrat </w:t>
      </w:r>
      <w:r w:rsidR="00F21B74">
        <w:rPr>
          <w:rFonts w:ascii="Tahoma" w:hAnsi="Tahoma" w:cs="Tahoma"/>
        </w:rPr>
        <w:t>au-dessus</w:t>
      </w:r>
      <w:r w:rsidR="00474EDD">
        <w:rPr>
          <w:rFonts w:ascii="Tahoma" w:hAnsi="Tahoma" w:cs="Tahoma"/>
        </w:rPr>
        <w:t xml:space="preserve"> de 124.43.</w:t>
      </w:r>
    </w:p>
    <w:p w14:paraId="7A7A572F" w14:textId="4DD2A00C" w:rsidR="00C7230B" w:rsidRDefault="00C7230B" w:rsidP="00A444C0">
      <w:pPr>
        <w:jc w:val="both"/>
        <w:rPr>
          <w:rFonts w:ascii="Tahoma" w:hAnsi="Tahoma" w:cs="Tahoma"/>
        </w:rPr>
      </w:pPr>
      <w:r>
        <w:rPr>
          <w:rFonts w:ascii="Tahoma" w:hAnsi="Tahoma" w:cs="Tahoma"/>
        </w:rPr>
        <w:t>Mais même si la semaine a été positive, le marché évolue toujours sous des résistances</w:t>
      </w:r>
      <w:r w:rsidR="00A86579">
        <w:rPr>
          <w:rFonts w:ascii="Tahoma" w:hAnsi="Tahoma" w:cs="Tahoma"/>
        </w:rPr>
        <w:t xml:space="preserve"> (125.63, 126.21, 126.85)</w:t>
      </w:r>
      <w:r>
        <w:rPr>
          <w:rFonts w:ascii="Tahoma" w:hAnsi="Tahoma" w:cs="Tahoma"/>
        </w:rPr>
        <w:t xml:space="preserve"> qui pourraient inciter aux prises de profit et </w:t>
      </w:r>
      <w:r w:rsidR="00A86579">
        <w:rPr>
          <w:rFonts w:ascii="Tahoma" w:hAnsi="Tahoma" w:cs="Tahoma"/>
        </w:rPr>
        <w:t>bloquer l’avancée du marché.</w:t>
      </w:r>
    </w:p>
    <w:p w14:paraId="4F9050C9" w14:textId="77777777" w:rsidR="006D1B3E" w:rsidRDefault="006D1B3E" w:rsidP="00A444C0">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48012A4D" w:rsidR="00583BC8" w:rsidRPr="00041E45" w:rsidRDefault="00D35B6A" w:rsidP="00B41C02">
      <w:pPr>
        <w:jc w:val="both"/>
        <w:rPr>
          <w:rFonts w:ascii="Tahoma" w:hAnsi="Tahoma" w:cs="Tahoma"/>
          <w:sz w:val="32"/>
          <w:szCs w:val="32"/>
          <w:u w:val="single"/>
        </w:rPr>
      </w:pPr>
      <w:r>
        <w:rPr>
          <w:rFonts w:ascii="Tahoma" w:hAnsi="Tahoma" w:cs="Tahoma"/>
          <w:sz w:val="32"/>
          <w:szCs w:val="32"/>
          <w:u w:val="single"/>
        </w:rPr>
        <w:t>Week</w:t>
      </w:r>
    </w:p>
    <w:p w14:paraId="1675B8DF" w14:textId="631D20AA" w:rsidR="00583BC8" w:rsidRDefault="00C233FF" w:rsidP="00B41C02">
      <w:pPr>
        <w:jc w:val="both"/>
        <w:rPr>
          <w:rFonts w:ascii="Tahoma" w:hAnsi="Tahoma" w:cs="Tahoma"/>
        </w:rPr>
      </w:pPr>
      <w:r>
        <w:rPr>
          <w:noProof/>
        </w:rPr>
        <w:drawing>
          <wp:inline distT="0" distB="0" distL="0" distR="0" wp14:anchorId="7EB785B1" wp14:editId="1CC89DF3">
            <wp:extent cx="5760720" cy="4320540"/>
            <wp:effectExtent l="0" t="0" r="0" b="3810"/>
            <wp:docPr id="126368711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583AEF48" w:rsidR="00467005" w:rsidRDefault="004A2D2D" w:rsidP="00041E45">
      <w:pPr>
        <w:jc w:val="both"/>
        <w:rPr>
          <w:rFonts w:ascii="Tahoma" w:hAnsi="Tahoma" w:cs="Tahoma"/>
        </w:rPr>
      </w:pPr>
      <w:r>
        <w:rPr>
          <w:rFonts w:ascii="Tahoma" w:hAnsi="Tahoma" w:cs="Tahoma"/>
        </w:rPr>
        <w:lastRenderedPageBreak/>
        <w:t>S</w:t>
      </w:r>
      <w:r w:rsidR="00A95F2D">
        <w:rPr>
          <w:rFonts w:ascii="Tahoma" w:hAnsi="Tahoma" w:cs="Tahoma"/>
        </w:rPr>
        <w:t xml:space="preserve">ur le moyen terme, le contexte est lui aussi négatif. Les prix sont revenus sur la TS, et sortent le marché d’un environnement survendu. Après le nouveau bas de 123.74, la KS devrait se stabiliser sur son niveau actuel de 126.59. Elle servira de force de rappel et aussi de résistance. </w:t>
      </w:r>
    </w:p>
    <w:p w14:paraId="0EE7A3FC" w14:textId="440386A0" w:rsidR="00F242BC" w:rsidRDefault="00F242BC" w:rsidP="00041E45">
      <w:pPr>
        <w:jc w:val="both"/>
        <w:rPr>
          <w:rFonts w:ascii="Tahoma" w:hAnsi="Tahoma" w:cs="Tahoma"/>
        </w:rPr>
      </w:pPr>
      <w:r>
        <w:rPr>
          <w:rFonts w:ascii="Tahoma" w:hAnsi="Tahoma" w:cs="Tahoma"/>
        </w:rPr>
        <w:t xml:space="preserve">L’indicateur technique en divergence </w:t>
      </w:r>
      <w:r w:rsidR="008C06CD">
        <w:rPr>
          <w:rFonts w:ascii="Tahoma" w:hAnsi="Tahoma" w:cs="Tahoma"/>
        </w:rPr>
        <w:t>haussière</w:t>
      </w:r>
      <w:r>
        <w:rPr>
          <w:rFonts w:ascii="Tahoma" w:hAnsi="Tahoma" w:cs="Tahoma"/>
        </w:rPr>
        <w:t xml:space="preserve"> sort de sa zone de survente. En générale ce type de configuration se traduit par un rebond des prix et laisse penser que la hausse va se poursuivre. Attention tout de même à cette remarque. Les indicateurs techniques sont là pour soutenir ou pas les conclusions de l’analyse graphique. En aucun cas, un signal donné par un indicateur ne peut aller contre un contexte défini graphiquement.</w:t>
      </w:r>
    </w:p>
    <w:p w14:paraId="55446F75" w14:textId="789377E4" w:rsidR="00F242BC" w:rsidRDefault="00F242BC" w:rsidP="00041E45">
      <w:pPr>
        <w:jc w:val="both"/>
        <w:rPr>
          <w:rFonts w:ascii="Tahoma" w:hAnsi="Tahoma" w:cs="Tahoma"/>
        </w:rPr>
      </w:pPr>
      <w:r>
        <w:rPr>
          <w:rFonts w:ascii="Tahoma" w:hAnsi="Tahoma" w:cs="Tahoma"/>
        </w:rPr>
        <w:t>Quoi qu’il en soit, cette divergence doit nous amener à surveiller avec plus d’attention l’évolution du marché. Pour le contrat Bund cela signifie que les résistances citées dans l’analyse Daily peuvent effectivement être testée.</w:t>
      </w:r>
    </w:p>
    <w:p w14:paraId="4BA9BB85" w14:textId="6FDC8A1E" w:rsidR="00F242BC" w:rsidRDefault="00F242BC" w:rsidP="00041E45">
      <w:pPr>
        <w:jc w:val="both"/>
        <w:rPr>
          <w:rFonts w:ascii="Tahoma" w:hAnsi="Tahoma" w:cs="Tahoma"/>
        </w:rPr>
      </w:pPr>
      <w:r>
        <w:rPr>
          <w:rFonts w:ascii="Tahoma" w:hAnsi="Tahoma" w:cs="Tahoma"/>
        </w:rPr>
        <w:t xml:space="preserve">La dernière chandelle est positive. Elle remet en question la baisse qui la </w:t>
      </w:r>
      <w:r w:rsidR="00F21B74">
        <w:rPr>
          <w:rFonts w:ascii="Tahoma" w:hAnsi="Tahoma" w:cs="Tahoma"/>
        </w:rPr>
        <w:t>précède</w:t>
      </w:r>
      <w:r>
        <w:rPr>
          <w:rFonts w:ascii="Tahoma" w:hAnsi="Tahoma" w:cs="Tahoma"/>
        </w:rPr>
        <w:t xml:space="preserve">. Mais la fusion des deux derniers chandeliers donne une bougie de type doji </w:t>
      </w:r>
      <w:r w:rsidR="00217BC1">
        <w:rPr>
          <w:rFonts w:ascii="Tahoma" w:hAnsi="Tahoma" w:cs="Tahoma"/>
        </w:rPr>
        <w:t>avec une longue mèche basse, elle</w:t>
      </w:r>
      <w:r w:rsidR="008C06CD">
        <w:rPr>
          <w:rFonts w:ascii="Tahoma" w:hAnsi="Tahoma" w:cs="Tahoma"/>
        </w:rPr>
        <w:t xml:space="preserve"> même</w:t>
      </w:r>
      <w:r w:rsidR="00217BC1">
        <w:rPr>
          <w:rFonts w:ascii="Tahoma" w:hAnsi="Tahoma" w:cs="Tahoma"/>
        </w:rPr>
        <w:t xml:space="preserve"> de type marteau. Je dirais que cette chandelle est une alerte qui n’exclue pas une poursuite de la hausse cette semaine</w:t>
      </w:r>
      <w:r w:rsidR="00A4499A">
        <w:rPr>
          <w:rFonts w:ascii="Tahoma" w:hAnsi="Tahoma" w:cs="Tahoma"/>
        </w:rPr>
        <w:t>, h</w:t>
      </w:r>
      <w:r w:rsidR="00217BC1">
        <w:rPr>
          <w:rFonts w:ascii="Tahoma" w:hAnsi="Tahoma" w:cs="Tahoma"/>
        </w:rPr>
        <w:t>ausse limitée quant à elle à 126.85.</w:t>
      </w:r>
    </w:p>
    <w:p w14:paraId="10BB9766" w14:textId="77777777" w:rsidR="00723F77" w:rsidRDefault="00723F77" w:rsidP="00041E45">
      <w:pPr>
        <w:jc w:val="both"/>
        <w:rPr>
          <w:rFonts w:ascii="Tahoma" w:hAnsi="Tahoma" w:cs="Tahoma"/>
        </w:rPr>
      </w:pPr>
    </w:p>
    <w:p w14:paraId="258EB8FF" w14:textId="22B55233"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1D062D">
        <w:rPr>
          <w:rFonts w:ascii="Tahoma" w:hAnsi="Tahoma" w:cs="Tahoma"/>
        </w:rPr>
        <w:t xml:space="preserve"> </w:t>
      </w:r>
      <w:r w:rsidR="00A4499A">
        <w:rPr>
          <w:rFonts w:ascii="Tahoma" w:hAnsi="Tahoma" w:cs="Tahoma"/>
        </w:rPr>
        <w:t>M</w:t>
      </w:r>
      <w:r w:rsidR="001D062D">
        <w:rPr>
          <w:rFonts w:ascii="Tahoma" w:hAnsi="Tahoma" w:cs="Tahoma"/>
        </w:rPr>
        <w:t>arché incertain qui évolue toujours en fonction des nouvelles extérieures concernant le contexte géopolitique.</w:t>
      </w:r>
    </w:p>
    <w:p w14:paraId="416132F9" w14:textId="0577F10F" w:rsidR="001D062D" w:rsidRDefault="001D062D" w:rsidP="00B94D71">
      <w:pPr>
        <w:jc w:val="both"/>
        <w:rPr>
          <w:rFonts w:ascii="Tahoma" w:hAnsi="Tahoma" w:cs="Tahoma"/>
        </w:rPr>
      </w:pPr>
      <w:r>
        <w:rPr>
          <w:rFonts w:ascii="Tahoma" w:hAnsi="Tahoma" w:cs="Tahoma"/>
        </w:rPr>
        <w:t xml:space="preserve">Un support tracé sur les niveaux de 123.90 </w:t>
      </w:r>
      <w:r w:rsidR="00F21B74">
        <w:rPr>
          <w:rFonts w:ascii="Tahoma" w:hAnsi="Tahoma" w:cs="Tahoma"/>
        </w:rPr>
        <w:t>au-dessus</w:t>
      </w:r>
      <w:r>
        <w:rPr>
          <w:rFonts w:ascii="Tahoma" w:hAnsi="Tahoma" w:cs="Tahoma"/>
        </w:rPr>
        <w:t xml:space="preserve"> duquel le marché pourra continuer d’évoluer</w:t>
      </w:r>
      <w:r w:rsidR="00A4499A">
        <w:rPr>
          <w:rFonts w:ascii="Tahoma" w:hAnsi="Tahoma" w:cs="Tahoma"/>
        </w:rPr>
        <w:t xml:space="preserve"> positivement</w:t>
      </w:r>
      <w:r>
        <w:rPr>
          <w:rFonts w:ascii="Tahoma" w:hAnsi="Tahoma" w:cs="Tahoma"/>
        </w:rPr>
        <w:t xml:space="preserve"> </w:t>
      </w:r>
      <w:r w:rsidR="00F21B74">
        <w:rPr>
          <w:rFonts w:ascii="Tahoma" w:hAnsi="Tahoma" w:cs="Tahoma"/>
        </w:rPr>
        <w:t>au gré</w:t>
      </w:r>
      <w:r>
        <w:rPr>
          <w:rFonts w:ascii="Tahoma" w:hAnsi="Tahoma" w:cs="Tahoma"/>
        </w:rPr>
        <w:t xml:space="preserve"> des informations venant du Moyen Orient. Divers résistances (voir plus haut) avant l’arrivée sur le point majeur de 126.85.</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032B"/>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062D"/>
    <w:rsid w:val="001D474B"/>
    <w:rsid w:val="001F650A"/>
    <w:rsid w:val="002003AD"/>
    <w:rsid w:val="00217BC1"/>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586F"/>
    <w:rsid w:val="00467005"/>
    <w:rsid w:val="00474EDD"/>
    <w:rsid w:val="004A2D2D"/>
    <w:rsid w:val="004A5154"/>
    <w:rsid w:val="004F48EE"/>
    <w:rsid w:val="004F50FA"/>
    <w:rsid w:val="00531928"/>
    <w:rsid w:val="005440A4"/>
    <w:rsid w:val="00546A5A"/>
    <w:rsid w:val="00566580"/>
    <w:rsid w:val="00567AF3"/>
    <w:rsid w:val="00583BC8"/>
    <w:rsid w:val="00654380"/>
    <w:rsid w:val="00664BE1"/>
    <w:rsid w:val="006B055C"/>
    <w:rsid w:val="006D0942"/>
    <w:rsid w:val="006D1B3E"/>
    <w:rsid w:val="006E32BB"/>
    <w:rsid w:val="006E38E0"/>
    <w:rsid w:val="006F68A3"/>
    <w:rsid w:val="00710599"/>
    <w:rsid w:val="00723F77"/>
    <w:rsid w:val="00744696"/>
    <w:rsid w:val="0075049C"/>
    <w:rsid w:val="00761811"/>
    <w:rsid w:val="00772067"/>
    <w:rsid w:val="0077545D"/>
    <w:rsid w:val="007A0A4B"/>
    <w:rsid w:val="007A0E6C"/>
    <w:rsid w:val="007B1237"/>
    <w:rsid w:val="007B661D"/>
    <w:rsid w:val="007D19FF"/>
    <w:rsid w:val="007D2085"/>
    <w:rsid w:val="007D4181"/>
    <w:rsid w:val="0083454A"/>
    <w:rsid w:val="00837B38"/>
    <w:rsid w:val="00896554"/>
    <w:rsid w:val="008A7407"/>
    <w:rsid w:val="008C06CD"/>
    <w:rsid w:val="008F10C2"/>
    <w:rsid w:val="00902D2F"/>
    <w:rsid w:val="0091071F"/>
    <w:rsid w:val="00961FDF"/>
    <w:rsid w:val="00983B7D"/>
    <w:rsid w:val="00993D33"/>
    <w:rsid w:val="009A37C2"/>
    <w:rsid w:val="009F3AB8"/>
    <w:rsid w:val="00A0231F"/>
    <w:rsid w:val="00A11606"/>
    <w:rsid w:val="00A444C0"/>
    <w:rsid w:val="00A4499A"/>
    <w:rsid w:val="00A6401C"/>
    <w:rsid w:val="00A81AB7"/>
    <w:rsid w:val="00A86579"/>
    <w:rsid w:val="00A95F2D"/>
    <w:rsid w:val="00AA522C"/>
    <w:rsid w:val="00AE7F3B"/>
    <w:rsid w:val="00B34260"/>
    <w:rsid w:val="00B41C02"/>
    <w:rsid w:val="00B4335A"/>
    <w:rsid w:val="00B50E38"/>
    <w:rsid w:val="00B554B8"/>
    <w:rsid w:val="00B64EE0"/>
    <w:rsid w:val="00B858CB"/>
    <w:rsid w:val="00B94D71"/>
    <w:rsid w:val="00BB0E32"/>
    <w:rsid w:val="00BB6D9D"/>
    <w:rsid w:val="00BC77A5"/>
    <w:rsid w:val="00BD3FC1"/>
    <w:rsid w:val="00C17ED7"/>
    <w:rsid w:val="00C233FF"/>
    <w:rsid w:val="00C41F15"/>
    <w:rsid w:val="00C70171"/>
    <w:rsid w:val="00C70A68"/>
    <w:rsid w:val="00C7230B"/>
    <w:rsid w:val="00C812D4"/>
    <w:rsid w:val="00C82E98"/>
    <w:rsid w:val="00C921E3"/>
    <w:rsid w:val="00CB17C9"/>
    <w:rsid w:val="00CC72FF"/>
    <w:rsid w:val="00CC7C21"/>
    <w:rsid w:val="00CE0886"/>
    <w:rsid w:val="00CE7214"/>
    <w:rsid w:val="00CF1882"/>
    <w:rsid w:val="00CF2516"/>
    <w:rsid w:val="00CF6D63"/>
    <w:rsid w:val="00D23B28"/>
    <w:rsid w:val="00D35B6A"/>
    <w:rsid w:val="00D46C8D"/>
    <w:rsid w:val="00DA1359"/>
    <w:rsid w:val="00DD23A4"/>
    <w:rsid w:val="00DE5444"/>
    <w:rsid w:val="00DF072F"/>
    <w:rsid w:val="00E32014"/>
    <w:rsid w:val="00E3727C"/>
    <w:rsid w:val="00EB58BA"/>
    <w:rsid w:val="00EE6B93"/>
    <w:rsid w:val="00F04A6E"/>
    <w:rsid w:val="00F04DEF"/>
    <w:rsid w:val="00F21B74"/>
    <w:rsid w:val="00F242BC"/>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4</Pages>
  <Words>764</Words>
  <Characters>4206</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116</cp:revision>
  <dcterms:created xsi:type="dcterms:W3CDTF">2021-11-25T09:44:00Z</dcterms:created>
  <dcterms:modified xsi:type="dcterms:W3CDTF">2026-05-23T15:56:00Z</dcterms:modified>
</cp:coreProperties>
</file>