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7E658F97" w:rsidR="00902D2F" w:rsidRPr="00041E45" w:rsidRDefault="00A444C0" w:rsidP="00B41C02">
      <w:pPr>
        <w:jc w:val="both"/>
        <w:rPr>
          <w:rFonts w:ascii="Tahoma" w:hAnsi="Tahoma" w:cs="Tahoma"/>
          <w:sz w:val="32"/>
          <w:szCs w:val="32"/>
          <w:u w:val="single"/>
        </w:rPr>
      </w:pPr>
      <w:r>
        <w:rPr>
          <w:rFonts w:ascii="Tahoma" w:hAnsi="Tahoma" w:cs="Tahoma"/>
          <w:sz w:val="32"/>
          <w:szCs w:val="32"/>
          <w:u w:val="single"/>
        </w:rPr>
        <w:t>Month</w:t>
      </w:r>
    </w:p>
    <w:p w14:paraId="2862B446" w14:textId="31E99DFB" w:rsidR="00902D2F" w:rsidRDefault="00476F3A" w:rsidP="00B41C02">
      <w:pPr>
        <w:jc w:val="both"/>
        <w:rPr>
          <w:rFonts w:ascii="Tahoma" w:hAnsi="Tahoma" w:cs="Tahoma"/>
        </w:rPr>
      </w:pPr>
      <w:r>
        <w:rPr>
          <w:noProof/>
        </w:rPr>
        <w:drawing>
          <wp:inline distT="0" distB="0" distL="0" distR="0" wp14:anchorId="42C69F04" wp14:editId="3C751EC2">
            <wp:extent cx="5760720" cy="4320540"/>
            <wp:effectExtent l="0" t="0" r="0" b="3810"/>
            <wp:docPr id="148557138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7AC4D2D2" w14:textId="2CFF26A3" w:rsidR="00DF072F" w:rsidRDefault="00BB6D9D" w:rsidP="00B41C02">
      <w:pPr>
        <w:jc w:val="both"/>
        <w:rPr>
          <w:rFonts w:ascii="Tahoma" w:hAnsi="Tahoma" w:cs="Tahoma"/>
        </w:rPr>
      </w:pPr>
      <w:r>
        <w:rPr>
          <w:rFonts w:ascii="Tahoma" w:hAnsi="Tahoma" w:cs="Tahoma"/>
        </w:rPr>
        <w:t xml:space="preserve"> </w:t>
      </w:r>
      <w:r w:rsidR="00041E45">
        <w:rPr>
          <w:rFonts w:ascii="Tahoma" w:hAnsi="Tahoma" w:cs="Tahoma"/>
        </w:rPr>
        <w:t>L</w:t>
      </w:r>
      <w:r w:rsidR="00476F3A">
        <w:rPr>
          <w:rFonts w:ascii="Tahoma" w:hAnsi="Tahoma" w:cs="Tahoma"/>
        </w:rPr>
        <w:t xml:space="preserve">e graphique mensuel, sert ici à fixer les supports et résistances de long terme. Le changement d’échéance </w:t>
      </w:r>
      <w:r w:rsidR="00D662B4">
        <w:rPr>
          <w:rFonts w:ascii="Tahoma" w:hAnsi="Tahoma" w:cs="Tahoma"/>
        </w:rPr>
        <w:t xml:space="preserve">(de juin à septembre) </w:t>
      </w:r>
      <w:r w:rsidR="00476F3A">
        <w:rPr>
          <w:rFonts w:ascii="Tahoma" w:hAnsi="Tahoma" w:cs="Tahoma"/>
        </w:rPr>
        <w:t xml:space="preserve">qui a eu lieu au début du mois </w:t>
      </w:r>
      <w:r w:rsidR="00DD1AA5">
        <w:rPr>
          <w:rFonts w:ascii="Tahoma" w:hAnsi="Tahoma" w:cs="Tahoma"/>
        </w:rPr>
        <w:t xml:space="preserve">n’a que </w:t>
      </w:r>
      <w:r w:rsidR="0070666B">
        <w:rPr>
          <w:rFonts w:ascii="Tahoma" w:hAnsi="Tahoma" w:cs="Tahoma"/>
        </w:rPr>
        <w:t>légèrement</w:t>
      </w:r>
      <w:r w:rsidR="00DD1AA5">
        <w:rPr>
          <w:rFonts w:ascii="Tahoma" w:hAnsi="Tahoma" w:cs="Tahoma"/>
        </w:rPr>
        <w:t xml:space="preserve"> changé les points de long terme.</w:t>
      </w:r>
    </w:p>
    <w:p w14:paraId="1201DF9E" w14:textId="537A0B03" w:rsidR="00DD1AA5" w:rsidRDefault="00DD1AA5" w:rsidP="00B41C02">
      <w:pPr>
        <w:jc w:val="both"/>
        <w:rPr>
          <w:rFonts w:ascii="Tahoma" w:hAnsi="Tahoma" w:cs="Tahoma"/>
        </w:rPr>
      </w:pPr>
      <w:r>
        <w:rPr>
          <w:rFonts w:ascii="Tahoma" w:hAnsi="Tahoma" w:cs="Tahoma"/>
        </w:rPr>
        <w:t xml:space="preserve">Ainsi les supports sont sur 125.67 et 120.25. Ils </w:t>
      </w:r>
      <w:r w:rsidR="0070666B">
        <w:rPr>
          <w:rFonts w:ascii="Tahoma" w:hAnsi="Tahoma" w:cs="Tahoma"/>
        </w:rPr>
        <w:t>représentent</w:t>
      </w:r>
      <w:r>
        <w:rPr>
          <w:rFonts w:ascii="Tahoma" w:hAnsi="Tahoma" w:cs="Tahoma"/>
        </w:rPr>
        <w:t xml:space="preserve"> respectivement un plat de SSB et un plat de KS, passé</w:t>
      </w:r>
      <w:r w:rsidR="00DA0D62">
        <w:rPr>
          <w:rFonts w:ascii="Tahoma" w:hAnsi="Tahoma" w:cs="Tahoma"/>
        </w:rPr>
        <w:t>e</w:t>
      </w:r>
      <w:r>
        <w:rPr>
          <w:rFonts w:ascii="Tahoma" w:hAnsi="Tahoma" w:cs="Tahoma"/>
        </w:rPr>
        <w:t>s pour ces deux points. Les premières résistances se situent sur 135.25 et 144.38 et matérialisent tous les deux un plat de KS passée.</w:t>
      </w:r>
    </w:p>
    <w:p w14:paraId="6A4D0504" w14:textId="43325D7B" w:rsidR="001A71CC" w:rsidRDefault="001A71CC" w:rsidP="00B41C02">
      <w:pPr>
        <w:jc w:val="both"/>
        <w:rPr>
          <w:rFonts w:ascii="Tahoma" w:hAnsi="Tahoma" w:cs="Tahoma"/>
        </w:rPr>
      </w:pPr>
      <w:r>
        <w:rPr>
          <w:rFonts w:ascii="Tahoma" w:hAnsi="Tahoma" w:cs="Tahoma"/>
        </w:rPr>
        <w:t xml:space="preserve">Le contrat travaille actuellement le support de 125.67. Les dernières petites chandelles ainsi que leurs mèches basses montrent que la cassure ne fait pas l’unanimité. En effet cette rupture si elle était validée par une </w:t>
      </w:r>
      <w:r w:rsidR="0070666B">
        <w:rPr>
          <w:rFonts w:ascii="Tahoma" w:hAnsi="Tahoma" w:cs="Tahoma"/>
        </w:rPr>
        <w:t>clôture</w:t>
      </w:r>
      <w:r>
        <w:rPr>
          <w:rFonts w:ascii="Tahoma" w:hAnsi="Tahoma" w:cs="Tahoma"/>
        </w:rPr>
        <w:t xml:space="preserve"> impliquerai une poursuite de la baisse des prix sur 120.25 soit un équivalent taux 10 ans Allemand de 3.60%.</w:t>
      </w:r>
    </w:p>
    <w:p w14:paraId="4B58BAAC" w14:textId="3073ECB7" w:rsidR="001A71CC" w:rsidRDefault="001A71CC" w:rsidP="00B41C02">
      <w:pPr>
        <w:jc w:val="both"/>
        <w:rPr>
          <w:rFonts w:ascii="Tahoma" w:hAnsi="Tahoma" w:cs="Tahoma"/>
        </w:rPr>
      </w:pPr>
      <w:r>
        <w:rPr>
          <w:rFonts w:ascii="Tahoma" w:hAnsi="Tahoma" w:cs="Tahoma"/>
        </w:rPr>
        <w:t xml:space="preserve"> </w:t>
      </w:r>
    </w:p>
    <w:p w14:paraId="48BC5B94" w14:textId="77777777" w:rsidR="00DD1AA5" w:rsidRDefault="00DD1AA5" w:rsidP="00B41C02">
      <w:pPr>
        <w:jc w:val="both"/>
        <w:rPr>
          <w:rFonts w:ascii="Tahoma" w:hAnsi="Tahoma" w:cs="Tahoma"/>
        </w:rPr>
      </w:pPr>
    </w:p>
    <w:p w14:paraId="6456B2AC" w14:textId="77777777" w:rsidR="00A444C0" w:rsidRDefault="00A444C0" w:rsidP="00B41C02">
      <w:pPr>
        <w:jc w:val="both"/>
        <w:rPr>
          <w:rFonts w:ascii="Tahoma" w:hAnsi="Tahoma" w:cs="Tahoma"/>
        </w:rPr>
      </w:pPr>
    </w:p>
    <w:p w14:paraId="23604B11" w14:textId="77777777" w:rsidR="00A444C0" w:rsidRPr="00041E45" w:rsidRDefault="00A444C0" w:rsidP="00A444C0">
      <w:pPr>
        <w:jc w:val="both"/>
        <w:rPr>
          <w:rFonts w:ascii="Tahoma" w:hAnsi="Tahoma" w:cs="Tahoma"/>
          <w:sz w:val="32"/>
          <w:szCs w:val="32"/>
          <w:u w:val="single"/>
        </w:rPr>
      </w:pPr>
      <w:r w:rsidRPr="00041E45">
        <w:rPr>
          <w:rFonts w:ascii="Tahoma" w:hAnsi="Tahoma" w:cs="Tahoma"/>
          <w:sz w:val="32"/>
          <w:szCs w:val="32"/>
          <w:u w:val="single"/>
        </w:rPr>
        <w:t>Week</w:t>
      </w:r>
    </w:p>
    <w:p w14:paraId="402C9A9A" w14:textId="728C5518" w:rsidR="00A444C0" w:rsidRDefault="00476F3A" w:rsidP="00A444C0">
      <w:pPr>
        <w:jc w:val="both"/>
        <w:rPr>
          <w:rFonts w:ascii="Tahoma" w:hAnsi="Tahoma" w:cs="Tahoma"/>
        </w:rPr>
      </w:pPr>
      <w:r>
        <w:rPr>
          <w:noProof/>
        </w:rPr>
        <w:lastRenderedPageBreak/>
        <w:drawing>
          <wp:inline distT="0" distB="0" distL="0" distR="0" wp14:anchorId="1C20899E" wp14:editId="7385A7D6">
            <wp:extent cx="5760720" cy="4320540"/>
            <wp:effectExtent l="0" t="0" r="0" b="3810"/>
            <wp:docPr id="449923140"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0A33CE1B" w14:textId="77777777" w:rsidR="00A444C0" w:rsidRDefault="00A444C0" w:rsidP="00A444C0">
      <w:pPr>
        <w:jc w:val="both"/>
        <w:rPr>
          <w:rFonts w:ascii="Tahoma" w:hAnsi="Tahoma" w:cs="Tahoma"/>
        </w:rPr>
      </w:pPr>
    </w:p>
    <w:p w14:paraId="320F1048" w14:textId="7D24C49F" w:rsidR="00474522" w:rsidRDefault="00A444C0" w:rsidP="00A444C0">
      <w:pPr>
        <w:jc w:val="both"/>
        <w:rPr>
          <w:rFonts w:ascii="Tahoma" w:hAnsi="Tahoma" w:cs="Tahoma"/>
        </w:rPr>
      </w:pPr>
      <w:r>
        <w:rPr>
          <w:rFonts w:ascii="Tahoma" w:hAnsi="Tahoma" w:cs="Tahoma"/>
        </w:rPr>
        <w:t xml:space="preserve"> </w:t>
      </w:r>
      <w:r w:rsidR="00D311FB">
        <w:rPr>
          <w:rFonts w:ascii="Tahoma" w:hAnsi="Tahoma" w:cs="Tahoma"/>
        </w:rPr>
        <w:t xml:space="preserve">Sur le moyen terme, l’environnement est baissier. Prix et LS évoluent sous leur nuage respectif. De plus la LS </w:t>
      </w:r>
      <w:r w:rsidR="006551A1">
        <w:rPr>
          <w:rFonts w:ascii="Tahoma" w:hAnsi="Tahoma" w:cs="Tahoma"/>
        </w:rPr>
        <w:t>n’est toujours pas parvenue à dépasser sa barrière de prix ce qui renforce un peu plus le contexte baissier que je viens d’évoquer.</w:t>
      </w:r>
      <w:r w:rsidR="00474522">
        <w:rPr>
          <w:rFonts w:ascii="Tahoma" w:hAnsi="Tahoma" w:cs="Tahoma"/>
        </w:rPr>
        <w:t xml:space="preserve"> La TS sous la KS nous confirme </w:t>
      </w:r>
      <w:r w:rsidR="003E32D3">
        <w:rPr>
          <w:rFonts w:ascii="Tahoma" w:hAnsi="Tahoma" w:cs="Tahoma"/>
        </w:rPr>
        <w:t xml:space="preserve">là aussi </w:t>
      </w:r>
      <w:r w:rsidR="00474522">
        <w:rPr>
          <w:rFonts w:ascii="Tahoma" w:hAnsi="Tahoma" w:cs="Tahoma"/>
        </w:rPr>
        <w:t>l’environnement baissier.</w:t>
      </w:r>
    </w:p>
    <w:p w14:paraId="374D1F17" w14:textId="74CAF4BC" w:rsidR="00583BC8" w:rsidRDefault="00474522" w:rsidP="00B41C02">
      <w:pPr>
        <w:jc w:val="both"/>
        <w:rPr>
          <w:rFonts w:ascii="Tahoma" w:hAnsi="Tahoma" w:cs="Tahoma"/>
        </w:rPr>
      </w:pPr>
      <w:r>
        <w:rPr>
          <w:rFonts w:ascii="Tahoma" w:hAnsi="Tahoma" w:cs="Tahoma"/>
        </w:rPr>
        <w:t xml:space="preserve">Le plat de TS qui se développe indique quant à lui que le marché n’est plus en mouvement. Ainsi le </w:t>
      </w:r>
      <w:r w:rsidR="003E32D3">
        <w:rPr>
          <w:rFonts w:ascii="Tahoma" w:hAnsi="Tahoma" w:cs="Tahoma"/>
        </w:rPr>
        <w:t>contrat</w:t>
      </w:r>
      <w:r>
        <w:rPr>
          <w:rFonts w:ascii="Tahoma" w:hAnsi="Tahoma" w:cs="Tahoma"/>
        </w:rPr>
        <w:t xml:space="preserve"> peut entrer dans une phase de consolidation entre le bas récent de 123.78 et le plat de KS de 126.63.</w:t>
      </w:r>
    </w:p>
    <w:p w14:paraId="11FE6ACF" w14:textId="6A53A54B" w:rsidR="00474522" w:rsidRDefault="00474522" w:rsidP="00B41C02">
      <w:pPr>
        <w:jc w:val="both"/>
        <w:rPr>
          <w:rFonts w:ascii="Tahoma" w:hAnsi="Tahoma" w:cs="Tahoma"/>
        </w:rPr>
      </w:pPr>
      <w:r>
        <w:rPr>
          <w:rFonts w:ascii="Tahoma" w:hAnsi="Tahoma" w:cs="Tahoma"/>
        </w:rPr>
        <w:t>Ce plat représentera un point essentiel dans l’éventualité d’un retour du mouvement haussier.</w:t>
      </w:r>
    </w:p>
    <w:p w14:paraId="382CE76F" w14:textId="05AF3789" w:rsidR="001B09FC" w:rsidRDefault="001B09FC" w:rsidP="00B41C02">
      <w:pPr>
        <w:jc w:val="both"/>
        <w:rPr>
          <w:rFonts w:ascii="Tahoma" w:hAnsi="Tahoma" w:cs="Tahoma"/>
        </w:rPr>
      </w:pPr>
      <w:r>
        <w:rPr>
          <w:rFonts w:ascii="Tahoma" w:hAnsi="Tahoma" w:cs="Tahoma"/>
        </w:rPr>
        <w:t>Même si la divergence haussière de l’indicateur technique en zone de survente milite pour une hausse des cours, le plat de KS</w:t>
      </w:r>
      <w:r w:rsidR="009D6C22">
        <w:rPr>
          <w:rFonts w:ascii="Tahoma" w:hAnsi="Tahoma" w:cs="Tahoma"/>
        </w:rPr>
        <w:t xml:space="preserve"> de 126.63</w:t>
      </w:r>
      <w:r>
        <w:rPr>
          <w:rFonts w:ascii="Tahoma" w:hAnsi="Tahoma" w:cs="Tahoma"/>
        </w:rPr>
        <w:t xml:space="preserve"> peut </w:t>
      </w:r>
      <w:r w:rsidR="00C61C7C">
        <w:rPr>
          <w:rFonts w:ascii="Tahoma" w:hAnsi="Tahoma" w:cs="Tahoma"/>
        </w:rPr>
        <w:t>achever ce qu’il reste de</w:t>
      </w:r>
      <w:r w:rsidR="009D6C22">
        <w:rPr>
          <w:rFonts w:ascii="Tahoma" w:hAnsi="Tahoma" w:cs="Tahoma"/>
        </w:rPr>
        <w:t xml:space="preserve"> la</w:t>
      </w:r>
      <w:r w:rsidR="00C61C7C">
        <w:rPr>
          <w:rFonts w:ascii="Tahoma" w:hAnsi="Tahoma" w:cs="Tahoma"/>
        </w:rPr>
        <w:t xml:space="preserve"> force acheteuse</w:t>
      </w:r>
      <w:r w:rsidR="009D6C22">
        <w:rPr>
          <w:rFonts w:ascii="Tahoma" w:hAnsi="Tahoma" w:cs="Tahoma"/>
        </w:rPr>
        <w:t xml:space="preserve"> et stopper le mouvement issu de la </w:t>
      </w:r>
      <w:r w:rsidR="0070666B">
        <w:rPr>
          <w:rFonts w:ascii="Tahoma" w:hAnsi="Tahoma" w:cs="Tahoma"/>
        </w:rPr>
        <w:t>pénétrante</w:t>
      </w:r>
      <w:r w:rsidR="009D6C22">
        <w:rPr>
          <w:rFonts w:ascii="Tahoma" w:hAnsi="Tahoma" w:cs="Tahoma"/>
        </w:rPr>
        <w:t xml:space="preserve"> haussière (je dirais plutôt avalement haussier)</w:t>
      </w:r>
      <w:r w:rsidR="003E32D3">
        <w:rPr>
          <w:rFonts w:ascii="Tahoma" w:hAnsi="Tahoma" w:cs="Tahoma"/>
        </w:rPr>
        <w:t xml:space="preserve">. Cette structure haussière </w:t>
      </w:r>
      <w:r w:rsidR="00F751B4">
        <w:rPr>
          <w:rFonts w:ascii="Tahoma" w:hAnsi="Tahoma" w:cs="Tahoma"/>
        </w:rPr>
        <w:t>n’a pas été remis</w:t>
      </w:r>
      <w:r w:rsidR="003E32D3">
        <w:rPr>
          <w:rFonts w:ascii="Tahoma" w:hAnsi="Tahoma" w:cs="Tahoma"/>
        </w:rPr>
        <w:t>e</w:t>
      </w:r>
      <w:r w:rsidR="00F751B4">
        <w:rPr>
          <w:rFonts w:ascii="Tahoma" w:hAnsi="Tahoma" w:cs="Tahoma"/>
        </w:rPr>
        <w:t xml:space="preserve"> en question par les trois dernières petites bougies.</w:t>
      </w:r>
      <w:r w:rsidR="009D6C22">
        <w:rPr>
          <w:rFonts w:ascii="Tahoma" w:hAnsi="Tahoma" w:cs="Tahoma"/>
        </w:rPr>
        <w:t xml:space="preserve"> </w:t>
      </w:r>
    </w:p>
    <w:p w14:paraId="717616FC" w14:textId="77777777" w:rsidR="001B09FC" w:rsidRDefault="001B09FC"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40E7E7CC" w:rsidR="00583BC8" w:rsidRDefault="00476F3A" w:rsidP="00B41C02">
      <w:pPr>
        <w:jc w:val="both"/>
        <w:rPr>
          <w:rFonts w:ascii="Tahoma" w:hAnsi="Tahoma" w:cs="Tahoma"/>
        </w:rPr>
      </w:pPr>
      <w:r>
        <w:rPr>
          <w:noProof/>
        </w:rPr>
        <w:lastRenderedPageBreak/>
        <w:drawing>
          <wp:inline distT="0" distB="0" distL="0" distR="0" wp14:anchorId="727101E9" wp14:editId="2A15942D">
            <wp:extent cx="5760720" cy="4320540"/>
            <wp:effectExtent l="0" t="0" r="0" b="3810"/>
            <wp:docPr id="907703488"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10BA38C" w14:textId="73477E3E" w:rsidR="00163C46" w:rsidRDefault="00163C46" w:rsidP="00263ED0">
      <w:pPr>
        <w:jc w:val="both"/>
        <w:rPr>
          <w:rFonts w:ascii="Tahoma" w:hAnsi="Tahoma" w:cs="Tahoma"/>
        </w:rPr>
      </w:pPr>
    </w:p>
    <w:p w14:paraId="44DA31F6" w14:textId="7E26479B" w:rsidR="00DC0DC4" w:rsidRDefault="00DC0DC4" w:rsidP="00041E45">
      <w:pPr>
        <w:jc w:val="both"/>
        <w:rPr>
          <w:rFonts w:ascii="Tahoma" w:hAnsi="Tahoma" w:cs="Tahoma"/>
        </w:rPr>
      </w:pPr>
      <w:r>
        <w:rPr>
          <w:rFonts w:ascii="Tahoma" w:hAnsi="Tahoma" w:cs="Tahoma"/>
        </w:rPr>
        <w:t xml:space="preserve">Sur le court terme, les prix ont pénétré le nuage. Ils sont ainsi sur leur niveau d’équilibre de court terme. Les nombreux twists de nuage sur cette unité de temps plaident pour une consolidation des prix que j’ai du mal à cadrer. 123.94 – 126.21 avec un dépassement et une validation temporaire de la borne haute, quoi qu’il en soit, je garderai cette résistance comme </w:t>
      </w:r>
      <w:r w:rsidR="0070666B">
        <w:rPr>
          <w:rFonts w:ascii="Tahoma" w:hAnsi="Tahoma" w:cs="Tahoma"/>
        </w:rPr>
        <w:t>repère</w:t>
      </w:r>
      <w:r>
        <w:rPr>
          <w:rFonts w:ascii="Tahoma" w:hAnsi="Tahoma" w:cs="Tahoma"/>
        </w:rPr>
        <w:t>.</w:t>
      </w:r>
    </w:p>
    <w:p w14:paraId="4297C117" w14:textId="2DF22829" w:rsidR="00DC0DC4" w:rsidRDefault="00DC0DC4" w:rsidP="00041E45">
      <w:pPr>
        <w:jc w:val="both"/>
        <w:rPr>
          <w:rFonts w:ascii="Tahoma" w:hAnsi="Tahoma" w:cs="Tahoma"/>
        </w:rPr>
      </w:pPr>
      <w:r>
        <w:rPr>
          <w:rFonts w:ascii="Tahoma" w:hAnsi="Tahoma" w:cs="Tahoma"/>
        </w:rPr>
        <w:t>L</w:t>
      </w:r>
      <w:r w:rsidR="00BB6251">
        <w:rPr>
          <w:rFonts w:ascii="Tahoma" w:hAnsi="Tahoma" w:cs="Tahoma"/>
        </w:rPr>
        <w:t>a</w:t>
      </w:r>
      <w:r>
        <w:rPr>
          <w:rFonts w:ascii="Tahoma" w:hAnsi="Tahoma" w:cs="Tahoma"/>
        </w:rPr>
        <w:t xml:space="preserve"> résistance majeure sur le court terme sera le plat de SSB de 126.89. Son dépassement </w:t>
      </w:r>
      <w:r w:rsidR="00BB6251">
        <w:rPr>
          <w:rFonts w:ascii="Tahoma" w:hAnsi="Tahoma" w:cs="Tahoma"/>
        </w:rPr>
        <w:t xml:space="preserve">permettra d’envisager une reprise de la hausse en direction des résistances de l’unité de temps supérieure </w:t>
      </w:r>
      <w:r w:rsidR="00573C21">
        <w:rPr>
          <w:rFonts w:ascii="Tahoma" w:hAnsi="Tahoma" w:cs="Tahoma"/>
        </w:rPr>
        <w:t>(129.84 voir</w:t>
      </w:r>
      <w:r w:rsidR="006143DC">
        <w:rPr>
          <w:rFonts w:ascii="Tahoma" w:hAnsi="Tahoma" w:cs="Tahoma"/>
        </w:rPr>
        <w:t>e</w:t>
      </w:r>
      <w:r w:rsidR="00573C21">
        <w:rPr>
          <w:rFonts w:ascii="Tahoma" w:hAnsi="Tahoma" w:cs="Tahoma"/>
        </w:rPr>
        <w:t xml:space="preserve"> 130.16)</w:t>
      </w:r>
      <w:r w:rsidR="006143DC">
        <w:rPr>
          <w:rFonts w:ascii="Tahoma" w:hAnsi="Tahoma" w:cs="Tahoma"/>
        </w:rPr>
        <w:t>.</w:t>
      </w:r>
    </w:p>
    <w:p w14:paraId="60E12DD5" w14:textId="1DD47622" w:rsidR="006143DC" w:rsidRDefault="006143DC" w:rsidP="00041E45">
      <w:pPr>
        <w:jc w:val="both"/>
        <w:rPr>
          <w:rFonts w:ascii="Tahoma" w:hAnsi="Tahoma" w:cs="Tahoma"/>
        </w:rPr>
      </w:pPr>
      <w:r>
        <w:rPr>
          <w:rFonts w:ascii="Tahoma" w:hAnsi="Tahoma" w:cs="Tahoma"/>
        </w:rPr>
        <w:t xml:space="preserve">J’utiliserai le plat de KS de 125.18 comme pivot, </w:t>
      </w:r>
      <w:r w:rsidR="0070666B">
        <w:rPr>
          <w:rFonts w:ascii="Tahoma" w:hAnsi="Tahoma" w:cs="Tahoma"/>
        </w:rPr>
        <w:t>au-dessus</w:t>
      </w:r>
      <w:r>
        <w:rPr>
          <w:rFonts w:ascii="Tahoma" w:hAnsi="Tahoma" w:cs="Tahoma"/>
        </w:rPr>
        <w:t xml:space="preserve"> duquel une poursuite de la hausse sera envisagée. </w:t>
      </w:r>
    </w:p>
    <w:p w14:paraId="67427A12" w14:textId="5731C2F6" w:rsidR="006143DC" w:rsidRDefault="006143DC" w:rsidP="00041E45">
      <w:pPr>
        <w:jc w:val="both"/>
        <w:rPr>
          <w:rFonts w:ascii="Tahoma" w:hAnsi="Tahoma" w:cs="Tahoma"/>
        </w:rPr>
      </w:pPr>
      <w:r>
        <w:rPr>
          <w:rFonts w:ascii="Tahoma" w:hAnsi="Tahoma" w:cs="Tahoma"/>
        </w:rPr>
        <w:t xml:space="preserve">La dernière chandelle proche du doji est tout à fait </w:t>
      </w:r>
      <w:r w:rsidR="001E0246">
        <w:rPr>
          <w:rFonts w:ascii="Tahoma" w:hAnsi="Tahoma" w:cs="Tahoma"/>
        </w:rPr>
        <w:t xml:space="preserve">caractéristique d’un marché où les nouvelles sont incertaines et primordiales. Les positions ne sont pas tenues en fin de semaine car il peut se passer beaucoup de chose au cours du </w:t>
      </w:r>
      <w:r w:rsidR="0070666B">
        <w:rPr>
          <w:rFonts w:ascii="Tahoma" w:hAnsi="Tahoma" w:cs="Tahoma"/>
        </w:rPr>
        <w:t>Week</w:t>
      </w:r>
      <w:r w:rsidR="001E0246">
        <w:rPr>
          <w:rFonts w:ascii="Tahoma" w:hAnsi="Tahoma" w:cs="Tahoma"/>
        </w:rPr>
        <w:t xml:space="preserve"> </w:t>
      </w:r>
      <w:r w:rsidR="0070666B">
        <w:rPr>
          <w:rFonts w:ascii="Tahoma" w:hAnsi="Tahoma" w:cs="Tahoma"/>
        </w:rPr>
        <w:t>E</w:t>
      </w:r>
      <w:r w:rsidR="001E0246">
        <w:rPr>
          <w:rFonts w:ascii="Tahoma" w:hAnsi="Tahoma" w:cs="Tahoma"/>
        </w:rPr>
        <w:t>nd (accord de paix ou pas</w:t>
      </w:r>
      <w:r w:rsidR="003E32D3">
        <w:rPr>
          <w:rFonts w:ascii="Tahoma" w:hAnsi="Tahoma" w:cs="Tahoma"/>
        </w:rPr>
        <w:t>…</w:t>
      </w:r>
      <w:r w:rsidR="001E0246">
        <w:rPr>
          <w:rFonts w:ascii="Tahoma" w:hAnsi="Tahoma" w:cs="Tahoma"/>
        </w:rPr>
        <w:t xml:space="preserve">). Ce qui est important ici c’est que cette dernière chandelle ouvre nettement </w:t>
      </w:r>
      <w:r w:rsidR="0070666B">
        <w:rPr>
          <w:rFonts w:ascii="Tahoma" w:hAnsi="Tahoma" w:cs="Tahoma"/>
        </w:rPr>
        <w:t>au-dessus</w:t>
      </w:r>
      <w:r w:rsidR="001E0246">
        <w:rPr>
          <w:rFonts w:ascii="Tahoma" w:hAnsi="Tahoma" w:cs="Tahoma"/>
        </w:rPr>
        <w:t xml:space="preserve"> de la </w:t>
      </w:r>
      <w:r w:rsidR="0070666B">
        <w:rPr>
          <w:rFonts w:ascii="Tahoma" w:hAnsi="Tahoma" w:cs="Tahoma"/>
        </w:rPr>
        <w:t>clôture</w:t>
      </w:r>
      <w:r w:rsidR="001E0246">
        <w:rPr>
          <w:rFonts w:ascii="Tahoma" w:hAnsi="Tahoma" w:cs="Tahoma"/>
        </w:rPr>
        <w:t xml:space="preserve"> de la bougie blanche précédente en forme d’avalement haussier</w:t>
      </w:r>
      <w:r w:rsidR="003E32D3">
        <w:rPr>
          <w:rFonts w:ascii="Tahoma" w:hAnsi="Tahoma" w:cs="Tahoma"/>
        </w:rPr>
        <w:t>.</w:t>
      </w:r>
      <w:r w:rsidR="001E0246">
        <w:rPr>
          <w:rFonts w:ascii="Tahoma" w:hAnsi="Tahoma" w:cs="Tahoma"/>
        </w:rPr>
        <w:t xml:space="preserve"> </w:t>
      </w:r>
      <w:r w:rsidR="003E32D3">
        <w:rPr>
          <w:rFonts w:ascii="Tahoma" w:hAnsi="Tahoma" w:cs="Tahoma"/>
        </w:rPr>
        <w:t>Elle</w:t>
      </w:r>
      <w:r w:rsidR="001E0246">
        <w:rPr>
          <w:rFonts w:ascii="Tahoma" w:hAnsi="Tahoma" w:cs="Tahoma"/>
        </w:rPr>
        <w:t xml:space="preserve"> n’a pas cherché à remettre en question la structure de retournement haussière (je parle ici de l’avalement)</w:t>
      </w:r>
      <w:r w:rsidR="003E32D3">
        <w:rPr>
          <w:rFonts w:ascii="Tahoma" w:hAnsi="Tahoma" w:cs="Tahoma"/>
        </w:rPr>
        <w:t xml:space="preserve"> ce qui est plutôt positif.</w:t>
      </w:r>
    </w:p>
    <w:p w14:paraId="67B8B186" w14:textId="77C7AF29" w:rsidR="00467005" w:rsidRDefault="00DC0DC4" w:rsidP="00041E45">
      <w:pPr>
        <w:jc w:val="both"/>
        <w:rPr>
          <w:rFonts w:ascii="Tahoma" w:hAnsi="Tahoma" w:cs="Tahoma"/>
        </w:rPr>
      </w:pPr>
      <w:r>
        <w:rPr>
          <w:rFonts w:ascii="Tahoma" w:hAnsi="Tahoma" w:cs="Tahoma"/>
        </w:rPr>
        <w:t xml:space="preserve"> </w:t>
      </w:r>
    </w:p>
    <w:p w14:paraId="10BB9766" w14:textId="77777777" w:rsidR="00723F77" w:rsidRDefault="00723F77" w:rsidP="00041E45">
      <w:pPr>
        <w:jc w:val="both"/>
        <w:rPr>
          <w:rFonts w:ascii="Tahoma" w:hAnsi="Tahoma" w:cs="Tahoma"/>
        </w:rPr>
      </w:pPr>
    </w:p>
    <w:p w14:paraId="5020246A" w14:textId="7471DC11" w:rsidR="006D18C7" w:rsidRDefault="00B94D71" w:rsidP="00B94D71">
      <w:pPr>
        <w:jc w:val="both"/>
        <w:rPr>
          <w:rFonts w:ascii="Tahoma" w:hAnsi="Tahoma" w:cs="Tahoma"/>
        </w:rPr>
      </w:pPr>
      <w:r>
        <w:rPr>
          <w:rFonts w:ascii="Tahoma" w:hAnsi="Tahoma" w:cs="Tahoma"/>
          <w:u w:val="single"/>
        </w:rPr>
        <w:lastRenderedPageBreak/>
        <w:t>CONCLUSION</w:t>
      </w:r>
      <w:r>
        <w:rPr>
          <w:rFonts w:ascii="Tahoma" w:hAnsi="Tahoma" w:cs="Tahoma"/>
        </w:rPr>
        <w:t> :</w:t>
      </w:r>
      <w:r w:rsidR="006D18C7">
        <w:rPr>
          <w:rFonts w:ascii="Tahoma" w:hAnsi="Tahoma" w:cs="Tahoma"/>
        </w:rPr>
        <w:t xml:space="preserve"> La poursuite de la baisse des prix ne fait pas l’unanimité mais les vendeurs continuent de dominer les échanges. Pour autant, certains éléments montrent un </w:t>
      </w:r>
      <w:r w:rsidR="0070666B">
        <w:rPr>
          <w:rFonts w:ascii="Tahoma" w:hAnsi="Tahoma" w:cs="Tahoma"/>
        </w:rPr>
        <w:t>essoufflement</w:t>
      </w:r>
      <w:r w:rsidR="006D18C7">
        <w:rPr>
          <w:rFonts w:ascii="Tahoma" w:hAnsi="Tahoma" w:cs="Tahoma"/>
        </w:rPr>
        <w:t xml:space="preserve"> ou un manque de conviction de cette domination. Les acheteurs ne sont pas </w:t>
      </w:r>
      <w:r w:rsidR="003E32D3">
        <w:rPr>
          <w:rFonts w:ascii="Tahoma" w:hAnsi="Tahoma" w:cs="Tahoma"/>
        </w:rPr>
        <w:t>assez</w:t>
      </w:r>
      <w:r w:rsidR="006D18C7">
        <w:rPr>
          <w:rFonts w:ascii="Tahoma" w:hAnsi="Tahoma" w:cs="Tahoma"/>
        </w:rPr>
        <w:t xml:space="preserve"> présents. </w:t>
      </w:r>
      <w:r w:rsidR="003E32D3">
        <w:rPr>
          <w:rFonts w:ascii="Tahoma" w:hAnsi="Tahoma" w:cs="Tahoma"/>
        </w:rPr>
        <w:t>Et i</w:t>
      </w:r>
      <w:r w:rsidR="006D18C7">
        <w:rPr>
          <w:rFonts w:ascii="Tahoma" w:hAnsi="Tahoma" w:cs="Tahoma"/>
        </w:rPr>
        <w:t>l reste certaines résistances à dépasser pour envisager une bascule de ce rapport de force.</w:t>
      </w:r>
    </w:p>
    <w:p w14:paraId="258EB8FF" w14:textId="2BBEAF2C" w:rsidR="00B94D71" w:rsidRDefault="003D79B6" w:rsidP="00B94D71">
      <w:pPr>
        <w:jc w:val="both"/>
        <w:rPr>
          <w:rFonts w:ascii="Tahoma" w:hAnsi="Tahoma" w:cs="Tahoma"/>
        </w:rPr>
      </w:pPr>
      <w:r>
        <w:rPr>
          <w:rFonts w:ascii="Tahoma" w:hAnsi="Tahoma" w:cs="Tahoma"/>
        </w:rPr>
        <w:t>Le</w:t>
      </w:r>
      <w:r w:rsidR="006D18C7">
        <w:rPr>
          <w:rFonts w:ascii="Tahoma" w:hAnsi="Tahoma" w:cs="Tahoma"/>
        </w:rPr>
        <w:t xml:space="preserve"> maintien des prix </w:t>
      </w:r>
      <w:r w:rsidR="0070666B">
        <w:rPr>
          <w:rFonts w:ascii="Tahoma" w:hAnsi="Tahoma" w:cs="Tahoma"/>
        </w:rPr>
        <w:t>au-dessus</w:t>
      </w:r>
      <w:r w:rsidR="006D18C7">
        <w:rPr>
          <w:rFonts w:ascii="Tahoma" w:hAnsi="Tahoma" w:cs="Tahoma"/>
        </w:rPr>
        <w:t xml:space="preserve"> de 125.18 (D), permettra d’envisager une poursuite sur le plat de SSB (D) de 126.89. </w:t>
      </w:r>
    </w:p>
    <w:p w14:paraId="7DBE2E3E" w14:textId="110B352E" w:rsidR="006D18C7" w:rsidRDefault="00011C92" w:rsidP="00B94D71">
      <w:pPr>
        <w:jc w:val="both"/>
        <w:rPr>
          <w:rFonts w:ascii="Tahoma" w:hAnsi="Tahoma" w:cs="Tahoma"/>
        </w:rPr>
      </w:pPr>
      <w:r>
        <w:rPr>
          <w:rFonts w:ascii="Tahoma" w:hAnsi="Tahoma" w:cs="Tahoma"/>
        </w:rPr>
        <w:t>En cas d’échec, u</w:t>
      </w:r>
      <w:r w:rsidR="006D18C7">
        <w:rPr>
          <w:rFonts w:ascii="Tahoma" w:hAnsi="Tahoma" w:cs="Tahoma"/>
        </w:rPr>
        <w:t>n repli ne devra pas terminer la semaine sous 126.63</w:t>
      </w:r>
      <w:r w:rsidR="003D79B6">
        <w:rPr>
          <w:rFonts w:ascii="Tahoma" w:hAnsi="Tahoma" w:cs="Tahoma"/>
        </w:rPr>
        <w:t xml:space="preserve"> (W)</w:t>
      </w:r>
      <w:r w:rsidR="006D18C7">
        <w:rPr>
          <w:rFonts w:ascii="Tahoma" w:hAnsi="Tahoma" w:cs="Tahoma"/>
        </w:rPr>
        <w:t xml:space="preserve"> pour envisager un nouveau test </w:t>
      </w:r>
      <w:r>
        <w:rPr>
          <w:rFonts w:ascii="Tahoma" w:hAnsi="Tahoma" w:cs="Tahoma"/>
        </w:rPr>
        <w:t xml:space="preserve">de 126.89 </w:t>
      </w:r>
      <w:r w:rsidR="006D18C7">
        <w:rPr>
          <w:rFonts w:ascii="Tahoma" w:hAnsi="Tahoma" w:cs="Tahoma"/>
        </w:rPr>
        <w:t xml:space="preserve">et </w:t>
      </w:r>
      <w:r w:rsidR="0070666B">
        <w:rPr>
          <w:rFonts w:ascii="Tahoma" w:hAnsi="Tahoma" w:cs="Tahoma"/>
        </w:rPr>
        <w:t>pourquoi</w:t>
      </w:r>
      <w:r w:rsidR="006D18C7">
        <w:rPr>
          <w:rFonts w:ascii="Tahoma" w:hAnsi="Tahoma" w:cs="Tahoma"/>
        </w:rPr>
        <w:t xml:space="preserve"> pas</w:t>
      </w:r>
      <w:r>
        <w:rPr>
          <w:rFonts w:ascii="Tahoma" w:hAnsi="Tahoma" w:cs="Tahoma"/>
        </w:rPr>
        <w:t>,</w:t>
      </w:r>
      <w:r w:rsidR="006D18C7">
        <w:rPr>
          <w:rFonts w:ascii="Tahoma" w:hAnsi="Tahoma" w:cs="Tahoma"/>
        </w:rPr>
        <w:t xml:space="preserve"> </w:t>
      </w:r>
      <w:r>
        <w:rPr>
          <w:rFonts w:ascii="Tahoma" w:hAnsi="Tahoma" w:cs="Tahoma"/>
        </w:rPr>
        <w:t>en</w:t>
      </w:r>
      <w:r w:rsidR="006D18C7">
        <w:rPr>
          <w:rFonts w:ascii="Tahoma" w:hAnsi="Tahoma" w:cs="Tahoma"/>
        </w:rPr>
        <w:t xml:space="preserve"> cassure</w:t>
      </w:r>
      <w:r>
        <w:rPr>
          <w:rFonts w:ascii="Tahoma" w:hAnsi="Tahoma" w:cs="Tahoma"/>
        </w:rPr>
        <w:t>,</w:t>
      </w:r>
      <w:r w:rsidR="006D18C7">
        <w:rPr>
          <w:rFonts w:ascii="Tahoma" w:hAnsi="Tahoma" w:cs="Tahoma"/>
        </w:rPr>
        <w:t xml:space="preserve"> direction de </w:t>
      </w:r>
      <w:r w:rsidR="00081F45">
        <w:rPr>
          <w:rFonts w:ascii="Tahoma" w:hAnsi="Tahoma" w:cs="Tahoma"/>
        </w:rPr>
        <w:t>129.84</w:t>
      </w:r>
      <w:r w:rsidR="003D79B6">
        <w:rPr>
          <w:rFonts w:ascii="Tahoma" w:hAnsi="Tahoma" w:cs="Tahoma"/>
        </w:rPr>
        <w:t xml:space="preserve"> (W)</w:t>
      </w:r>
      <w:r w:rsidR="00081F45">
        <w:rPr>
          <w:rFonts w:ascii="Tahoma" w:hAnsi="Tahoma" w:cs="Tahoma"/>
        </w:rPr>
        <w:t>, 130.16</w:t>
      </w:r>
      <w:r w:rsidR="003D79B6">
        <w:rPr>
          <w:rFonts w:ascii="Tahoma" w:hAnsi="Tahoma" w:cs="Tahoma"/>
        </w:rPr>
        <w:t xml:space="preserve"> (W</w:t>
      </w:r>
      <w:r w:rsidR="00081F45">
        <w:rPr>
          <w:rFonts w:ascii="Tahoma" w:hAnsi="Tahoma" w:cs="Tahoma"/>
        </w:rPr>
        <w:t>)</w:t>
      </w:r>
      <w:r w:rsidR="003D79B6">
        <w:rPr>
          <w:rFonts w:ascii="Tahoma" w:hAnsi="Tahoma" w:cs="Tahoma"/>
        </w:rPr>
        <w:t>.</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lastRenderedPageBreak/>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11C92"/>
    <w:rsid w:val="0002580A"/>
    <w:rsid w:val="00041E45"/>
    <w:rsid w:val="000524C5"/>
    <w:rsid w:val="000556C3"/>
    <w:rsid w:val="00081F45"/>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90995"/>
    <w:rsid w:val="001A4796"/>
    <w:rsid w:val="001A71CC"/>
    <w:rsid w:val="001B09FC"/>
    <w:rsid w:val="001D474B"/>
    <w:rsid w:val="001E0246"/>
    <w:rsid w:val="001F650A"/>
    <w:rsid w:val="002003AD"/>
    <w:rsid w:val="002421FE"/>
    <w:rsid w:val="00262E25"/>
    <w:rsid w:val="00263ED0"/>
    <w:rsid w:val="002A1F8E"/>
    <w:rsid w:val="002B5CB1"/>
    <w:rsid w:val="002C0A31"/>
    <w:rsid w:val="002F54B0"/>
    <w:rsid w:val="00303214"/>
    <w:rsid w:val="0030643B"/>
    <w:rsid w:val="00337611"/>
    <w:rsid w:val="00340FD9"/>
    <w:rsid w:val="00352DD9"/>
    <w:rsid w:val="003767E0"/>
    <w:rsid w:val="00397D3D"/>
    <w:rsid w:val="003D79B6"/>
    <w:rsid w:val="003E32D3"/>
    <w:rsid w:val="0040171B"/>
    <w:rsid w:val="004651B3"/>
    <w:rsid w:val="00467005"/>
    <w:rsid w:val="00474522"/>
    <w:rsid w:val="00476F3A"/>
    <w:rsid w:val="004A2D2D"/>
    <w:rsid w:val="004A5154"/>
    <w:rsid w:val="004F48EE"/>
    <w:rsid w:val="00531928"/>
    <w:rsid w:val="005440A4"/>
    <w:rsid w:val="00546A5A"/>
    <w:rsid w:val="00566580"/>
    <w:rsid w:val="00567AF3"/>
    <w:rsid w:val="00573C21"/>
    <w:rsid w:val="00583BC8"/>
    <w:rsid w:val="006143DC"/>
    <w:rsid w:val="00654380"/>
    <w:rsid w:val="006551A1"/>
    <w:rsid w:val="00664BE1"/>
    <w:rsid w:val="006B055C"/>
    <w:rsid w:val="006D18C7"/>
    <w:rsid w:val="006E32BB"/>
    <w:rsid w:val="006E38E0"/>
    <w:rsid w:val="0070666B"/>
    <w:rsid w:val="00710599"/>
    <w:rsid w:val="00723F77"/>
    <w:rsid w:val="00744696"/>
    <w:rsid w:val="00772067"/>
    <w:rsid w:val="0077545D"/>
    <w:rsid w:val="007A0A4B"/>
    <w:rsid w:val="007A0E6C"/>
    <w:rsid w:val="007B1237"/>
    <w:rsid w:val="007B661D"/>
    <w:rsid w:val="007D19FF"/>
    <w:rsid w:val="007D2085"/>
    <w:rsid w:val="007D4181"/>
    <w:rsid w:val="0083454A"/>
    <w:rsid w:val="00837B38"/>
    <w:rsid w:val="00896554"/>
    <w:rsid w:val="008A7407"/>
    <w:rsid w:val="008F10C2"/>
    <w:rsid w:val="00902D2F"/>
    <w:rsid w:val="00961FDF"/>
    <w:rsid w:val="00983B7D"/>
    <w:rsid w:val="009A37C2"/>
    <w:rsid w:val="009D6C22"/>
    <w:rsid w:val="009F3AB8"/>
    <w:rsid w:val="00A11606"/>
    <w:rsid w:val="00A444C0"/>
    <w:rsid w:val="00A6401C"/>
    <w:rsid w:val="00A81AB7"/>
    <w:rsid w:val="00AA522C"/>
    <w:rsid w:val="00AE7F3B"/>
    <w:rsid w:val="00B34260"/>
    <w:rsid w:val="00B41C02"/>
    <w:rsid w:val="00B4335A"/>
    <w:rsid w:val="00B50E38"/>
    <w:rsid w:val="00B554B8"/>
    <w:rsid w:val="00B64EE0"/>
    <w:rsid w:val="00B94D71"/>
    <w:rsid w:val="00BB0E32"/>
    <w:rsid w:val="00BB6251"/>
    <w:rsid w:val="00BB6D9D"/>
    <w:rsid w:val="00BC77A5"/>
    <w:rsid w:val="00BD3FC1"/>
    <w:rsid w:val="00C17ED7"/>
    <w:rsid w:val="00C41F15"/>
    <w:rsid w:val="00C61C7C"/>
    <w:rsid w:val="00C70171"/>
    <w:rsid w:val="00C70A68"/>
    <w:rsid w:val="00C82E98"/>
    <w:rsid w:val="00CB17C9"/>
    <w:rsid w:val="00CC72FF"/>
    <w:rsid w:val="00CC7C21"/>
    <w:rsid w:val="00CE0886"/>
    <w:rsid w:val="00CF2516"/>
    <w:rsid w:val="00CF6D63"/>
    <w:rsid w:val="00D23B28"/>
    <w:rsid w:val="00D311FB"/>
    <w:rsid w:val="00D46C8D"/>
    <w:rsid w:val="00D662B4"/>
    <w:rsid w:val="00DA0D62"/>
    <w:rsid w:val="00DA1359"/>
    <w:rsid w:val="00DC0DC4"/>
    <w:rsid w:val="00DD1AA5"/>
    <w:rsid w:val="00DD23A4"/>
    <w:rsid w:val="00DE5444"/>
    <w:rsid w:val="00DF072F"/>
    <w:rsid w:val="00E32014"/>
    <w:rsid w:val="00E3727C"/>
    <w:rsid w:val="00EB58BA"/>
    <w:rsid w:val="00EE6B93"/>
    <w:rsid w:val="00F04A6E"/>
    <w:rsid w:val="00F04DEF"/>
    <w:rsid w:val="00F31070"/>
    <w:rsid w:val="00F53F10"/>
    <w:rsid w:val="00F636F8"/>
    <w:rsid w:val="00F751B4"/>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646</TotalTime>
  <Pages>5</Pages>
  <Words>722</Words>
  <Characters>3977</Characters>
  <Application>Microsoft Office Word</Application>
  <DocSecurity>0</DocSecurity>
  <Lines>33</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116</cp:revision>
  <dcterms:created xsi:type="dcterms:W3CDTF">2021-11-25T09:44:00Z</dcterms:created>
  <dcterms:modified xsi:type="dcterms:W3CDTF">2026-06-13T13:02:00Z</dcterms:modified>
</cp:coreProperties>
</file>