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7E658F97" w:rsidR="00902D2F" w:rsidRPr="00041E45" w:rsidRDefault="00A444C0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6077511F" w:rsidR="00902D2F" w:rsidRDefault="0091288C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8F922DD" wp14:editId="146B8AF3">
            <wp:extent cx="5760720" cy="4320540"/>
            <wp:effectExtent l="0" t="0" r="0" b="3810"/>
            <wp:docPr id="7769469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074374DD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009EE">
        <w:rPr>
          <w:rFonts w:ascii="Tahoma" w:hAnsi="Tahoma" w:cs="Tahoma"/>
        </w:rPr>
        <w:t xml:space="preserve">e changement d’échéance qui a eu lieu le 08 septembre, a </w:t>
      </w:r>
      <w:r w:rsidR="004C3135">
        <w:rPr>
          <w:rFonts w:ascii="Tahoma" w:hAnsi="Tahoma" w:cs="Tahoma"/>
        </w:rPr>
        <w:t>légèrement</w:t>
      </w:r>
      <w:r w:rsidR="006009EE">
        <w:rPr>
          <w:rFonts w:ascii="Tahoma" w:hAnsi="Tahoma" w:cs="Tahoma"/>
        </w:rPr>
        <w:t xml:space="preserve"> modifié les supports et </w:t>
      </w:r>
      <w:r w:rsidR="004C3135">
        <w:rPr>
          <w:rFonts w:ascii="Tahoma" w:hAnsi="Tahoma" w:cs="Tahoma"/>
        </w:rPr>
        <w:t>résistances</w:t>
      </w:r>
      <w:r w:rsidR="006009EE">
        <w:rPr>
          <w:rFonts w:ascii="Tahoma" w:hAnsi="Tahoma" w:cs="Tahoma"/>
        </w:rPr>
        <w:t xml:space="preserve"> de long terme. </w:t>
      </w:r>
    </w:p>
    <w:p w14:paraId="6456B2AC" w14:textId="2CE52088" w:rsidR="00A444C0" w:rsidRDefault="0091288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on peut le constater sur le graphique mensuel, ces points sont matérialisés par des plats passés.</w:t>
      </w:r>
    </w:p>
    <w:p w14:paraId="2D907023" w14:textId="02D94D59" w:rsidR="0091288C" w:rsidRDefault="0091288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depuis le passage de 124.80, plat de SSB, le marché se dirige vers 119.40</w:t>
      </w:r>
      <w:r w:rsidR="004C3135">
        <w:rPr>
          <w:rFonts w:ascii="Tahoma" w:hAnsi="Tahoma" w:cs="Tahoma"/>
        </w:rPr>
        <w:t xml:space="preserve"> qui </w:t>
      </w:r>
      <w:r>
        <w:rPr>
          <w:rFonts w:ascii="Tahoma" w:hAnsi="Tahoma" w:cs="Tahoma"/>
        </w:rPr>
        <w:t xml:space="preserve"> représent</w:t>
      </w:r>
      <w:r w:rsidR="004C3135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</w:t>
      </w:r>
      <w:r w:rsidR="007F68C9">
        <w:rPr>
          <w:rFonts w:ascii="Tahoma" w:hAnsi="Tahoma" w:cs="Tahoma"/>
        </w:rPr>
        <w:t>un plat de KS passé</w:t>
      </w:r>
      <w:r w:rsidR="00D6133A">
        <w:rPr>
          <w:rFonts w:ascii="Tahoma" w:hAnsi="Tahoma" w:cs="Tahoma"/>
        </w:rPr>
        <w:t>e</w:t>
      </w:r>
      <w:r w:rsidR="007F68C9">
        <w:rPr>
          <w:rFonts w:ascii="Tahoma" w:hAnsi="Tahoma" w:cs="Tahoma"/>
        </w:rPr>
        <w:t>.</w:t>
      </w:r>
      <w:r w:rsidR="00D6133A">
        <w:rPr>
          <w:rFonts w:ascii="Tahoma" w:hAnsi="Tahoma" w:cs="Tahoma"/>
        </w:rPr>
        <w:t xml:space="preserve"> Ce point est à mettre en parallèle avec 120.25 que l’on avait avec l’échéance juin.</w:t>
      </w:r>
    </w:p>
    <w:p w14:paraId="498088DE" w14:textId="63B37AB0" w:rsidR="007F68C9" w:rsidRDefault="007F68C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de long terme est baissier avec des cours et une LS positionnés sous leur nuage respectif.</w:t>
      </w:r>
    </w:p>
    <w:p w14:paraId="1DAB9720" w14:textId="186A2A1C" w:rsidR="007F68C9" w:rsidRDefault="007F68C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l’environnement survendu limite le potentiel de baisse. Une correction serait souhaitable pour envisag</w:t>
      </w:r>
      <w:r w:rsidR="00D6133A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une poursuite de la baisse plus conséquente.</w:t>
      </w:r>
    </w:p>
    <w:p w14:paraId="0EC3F521" w14:textId="0F60651A" w:rsidR="007F68C9" w:rsidRDefault="00D6133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152498">
        <w:rPr>
          <w:rFonts w:ascii="Tahoma" w:hAnsi="Tahoma" w:cs="Tahoma"/>
        </w:rPr>
        <w:t>our cette raison</w:t>
      </w:r>
      <w:r>
        <w:rPr>
          <w:rFonts w:ascii="Tahoma" w:hAnsi="Tahoma" w:cs="Tahoma"/>
        </w:rPr>
        <w:t xml:space="preserve">, </w:t>
      </w:r>
      <w:r w:rsidR="00152498">
        <w:rPr>
          <w:rFonts w:ascii="Tahoma" w:hAnsi="Tahoma" w:cs="Tahoma"/>
        </w:rPr>
        <w:t xml:space="preserve">119.40 devrait servir de support </w:t>
      </w:r>
    </w:p>
    <w:p w14:paraId="23604B11" w14:textId="286CD032" w:rsidR="00A444C0" w:rsidRPr="00041E45" w:rsidRDefault="00D5111D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402C9A9A" w14:textId="3A4E9BD2" w:rsidR="00A444C0" w:rsidRDefault="0011055E" w:rsidP="00A444C0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BC05C40" wp14:editId="56944106">
            <wp:extent cx="5760720" cy="4320540"/>
            <wp:effectExtent l="0" t="0" r="0" b="3810"/>
            <wp:docPr id="1176431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CE1B" w14:textId="77777777" w:rsidR="00A444C0" w:rsidRDefault="00A444C0" w:rsidP="00A444C0">
      <w:pPr>
        <w:jc w:val="both"/>
        <w:rPr>
          <w:rFonts w:ascii="Tahoma" w:hAnsi="Tahoma" w:cs="Tahoma"/>
        </w:rPr>
      </w:pPr>
    </w:p>
    <w:p w14:paraId="00769237" w14:textId="42DD5BC4" w:rsidR="00A444C0" w:rsidRDefault="00A444C0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La</w:t>
      </w:r>
      <w:r w:rsidR="00E644E9">
        <w:rPr>
          <w:rFonts w:ascii="Tahoma" w:hAnsi="Tahoma" w:cs="Tahoma"/>
        </w:rPr>
        <w:t xml:space="preserve"> stabilisation des prix en fin de semaine dernière et en début de semaine a permis au cours de revenir sur l</w:t>
      </w:r>
      <w:r w:rsidR="00D6133A">
        <w:rPr>
          <w:rFonts w:ascii="Tahoma" w:hAnsi="Tahoma" w:cs="Tahoma"/>
        </w:rPr>
        <w:t>a</w:t>
      </w:r>
      <w:r w:rsidR="00E644E9">
        <w:rPr>
          <w:rFonts w:ascii="Tahoma" w:hAnsi="Tahoma" w:cs="Tahoma"/>
        </w:rPr>
        <w:t xml:space="preserve"> TS</w:t>
      </w:r>
      <w:r w:rsidR="00D6133A">
        <w:rPr>
          <w:rFonts w:ascii="Tahoma" w:hAnsi="Tahoma" w:cs="Tahoma"/>
        </w:rPr>
        <w:t xml:space="preserve"> et d’</w:t>
      </w:r>
      <w:r w:rsidR="00E644E9">
        <w:rPr>
          <w:rFonts w:ascii="Tahoma" w:hAnsi="Tahoma" w:cs="Tahoma"/>
        </w:rPr>
        <w:t>attén</w:t>
      </w:r>
      <w:r w:rsidR="0011055E">
        <w:rPr>
          <w:rFonts w:ascii="Tahoma" w:hAnsi="Tahoma" w:cs="Tahoma"/>
        </w:rPr>
        <w:t>u</w:t>
      </w:r>
      <w:r w:rsidR="00D6133A">
        <w:rPr>
          <w:rFonts w:ascii="Tahoma" w:hAnsi="Tahoma" w:cs="Tahoma"/>
        </w:rPr>
        <w:t>er</w:t>
      </w:r>
      <w:r w:rsidR="00E644E9">
        <w:rPr>
          <w:rFonts w:ascii="Tahoma" w:hAnsi="Tahoma" w:cs="Tahoma"/>
        </w:rPr>
        <w:t xml:space="preserve"> le contexte survendu. Mais les deux grandes chandelles noires de la semaine </w:t>
      </w:r>
      <w:r w:rsidR="0011055E">
        <w:rPr>
          <w:rFonts w:ascii="Tahoma" w:hAnsi="Tahoma" w:cs="Tahoma"/>
        </w:rPr>
        <w:t xml:space="preserve">(J-2 et J-3) </w:t>
      </w:r>
      <w:r w:rsidR="00E644E9">
        <w:rPr>
          <w:rFonts w:ascii="Tahoma" w:hAnsi="Tahoma" w:cs="Tahoma"/>
        </w:rPr>
        <w:t>ont replacé le contrat dans un environnement sur</w:t>
      </w:r>
      <w:r w:rsidR="0011055E">
        <w:rPr>
          <w:rFonts w:ascii="Tahoma" w:hAnsi="Tahoma" w:cs="Tahoma"/>
        </w:rPr>
        <w:t>ten</w:t>
      </w:r>
      <w:r w:rsidR="00E644E9">
        <w:rPr>
          <w:rFonts w:ascii="Tahoma" w:hAnsi="Tahoma" w:cs="Tahoma"/>
        </w:rPr>
        <w:t>du.</w:t>
      </w:r>
    </w:p>
    <w:p w14:paraId="145D3C99" w14:textId="628A3EA8" w:rsidR="00E644E9" w:rsidRDefault="00E644E9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est toujours négatif, et le marché </w:t>
      </w:r>
      <w:r w:rsidR="0011055E">
        <w:rPr>
          <w:rFonts w:ascii="Tahoma" w:hAnsi="Tahoma" w:cs="Tahoma"/>
        </w:rPr>
        <w:t xml:space="preserve">poursuit son mouvement vers </w:t>
      </w:r>
      <w:r>
        <w:rPr>
          <w:rFonts w:ascii="Tahoma" w:hAnsi="Tahoma" w:cs="Tahoma"/>
        </w:rPr>
        <w:t>de nouveaux bas.</w:t>
      </w:r>
    </w:p>
    <w:p w14:paraId="47D61529" w14:textId="1DDC4781" w:rsidR="0008195B" w:rsidRDefault="00E644E9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Lorsque l’on observe l’évolution de l’indicateur technique, on peut constater une petite divergence de mouvement. Cette dernière devra être confirmée en début de semaine prochaine</w:t>
      </w:r>
      <w:r w:rsidR="00CE3263">
        <w:rPr>
          <w:rFonts w:ascii="Tahoma" w:hAnsi="Tahoma" w:cs="Tahoma"/>
        </w:rPr>
        <w:t>.</w:t>
      </w:r>
      <w:r w:rsidR="0008195B">
        <w:rPr>
          <w:rFonts w:ascii="Tahoma" w:hAnsi="Tahoma" w:cs="Tahoma"/>
        </w:rPr>
        <w:t xml:space="preserve"> </w:t>
      </w:r>
    </w:p>
    <w:p w14:paraId="02164C0C" w14:textId="184C056B" w:rsidR="00E644E9" w:rsidRDefault="0008195B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a validé un bas 120.19. Cette bougie est blanche, donc positive mais associée à la précédente, elle reprend les caractéristiques d’une structure de poursuite de mouvement appelée « juste sous le cou ». Cela signifie que le maintien des prix sous la </w:t>
      </w:r>
      <w:r w:rsidR="004C3135">
        <w:rPr>
          <w:rFonts w:ascii="Tahoma" w:hAnsi="Tahoma" w:cs="Tahoma"/>
        </w:rPr>
        <w:t>clôture</w:t>
      </w:r>
      <w:r w:rsidR="0086224A">
        <w:rPr>
          <w:rFonts w:ascii="Tahoma" w:hAnsi="Tahoma" w:cs="Tahoma"/>
        </w:rPr>
        <w:t xml:space="preserve"> de la bougie noire</w:t>
      </w:r>
      <w:r>
        <w:rPr>
          <w:rFonts w:ascii="Tahoma" w:hAnsi="Tahoma" w:cs="Tahoma"/>
        </w:rPr>
        <w:t xml:space="preserve"> de 120.57, </w:t>
      </w:r>
      <w:r w:rsidR="0086224A">
        <w:rPr>
          <w:rFonts w:ascii="Tahoma" w:hAnsi="Tahoma" w:cs="Tahoma"/>
        </w:rPr>
        <w:t xml:space="preserve"> nous </w:t>
      </w:r>
      <w:r>
        <w:rPr>
          <w:rFonts w:ascii="Tahoma" w:hAnsi="Tahoma" w:cs="Tahoma"/>
        </w:rPr>
        <w:t xml:space="preserve">indique l’absence de puissance </w:t>
      </w:r>
      <w:r w:rsidR="0086224A">
        <w:rPr>
          <w:rFonts w:ascii="Tahoma" w:hAnsi="Tahoma" w:cs="Tahoma"/>
        </w:rPr>
        <w:t>et de force de ces derniers</w:t>
      </w:r>
      <w:r>
        <w:rPr>
          <w:rFonts w:ascii="Tahoma" w:hAnsi="Tahoma" w:cs="Tahoma"/>
        </w:rPr>
        <w:t xml:space="preserve"> acheteurs. Une cassure du point bas de la petite bougie blanche relancera le processus de baisse ayant pour objectif le support de long terme de 119.40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0D1F3EEC" w:rsidR="00583BC8" w:rsidRPr="00041E45" w:rsidRDefault="00D5111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WEEK</w:t>
      </w:r>
    </w:p>
    <w:p w14:paraId="1675B8DF" w14:textId="4E8ADAB9" w:rsidR="00583BC8" w:rsidRDefault="00D5111D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FDFA215" wp14:editId="5B6A39AE">
            <wp:extent cx="5760720" cy="4320540"/>
            <wp:effectExtent l="0" t="0" r="0" b="3810"/>
            <wp:docPr id="51799857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7D388801" w14:textId="15D9B761" w:rsidR="009E6432" w:rsidRDefault="009E643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moyen terme, la dernière chandelle marque la domination des vendeurs</w:t>
      </w:r>
      <w:r w:rsidR="00F55395">
        <w:rPr>
          <w:rFonts w:ascii="Tahoma" w:hAnsi="Tahoma" w:cs="Tahoma"/>
        </w:rPr>
        <w:t xml:space="preserve"> sur cette unité de temps</w:t>
      </w:r>
      <w:r>
        <w:rPr>
          <w:rFonts w:ascii="Tahoma" w:hAnsi="Tahoma" w:cs="Tahoma"/>
        </w:rPr>
        <w:t>.</w:t>
      </w:r>
    </w:p>
    <w:p w14:paraId="11D3497E" w14:textId="39F787E0" w:rsidR="009E6432" w:rsidRDefault="009E643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marché est survendu comme l’indique l’écart de prix (ici en </w:t>
      </w:r>
      <w:r w:rsidR="004C3135">
        <w:rPr>
          <w:rFonts w:ascii="Tahoma" w:hAnsi="Tahoma" w:cs="Tahoma"/>
        </w:rPr>
        <w:t>clôture</w:t>
      </w:r>
      <w:r>
        <w:rPr>
          <w:rFonts w:ascii="Tahoma" w:hAnsi="Tahoma" w:cs="Tahoma"/>
        </w:rPr>
        <w:t>) avec la TS et comme le montre l’indicateur technique.</w:t>
      </w:r>
    </w:p>
    <w:p w14:paraId="67B8B186" w14:textId="2B420FD4" w:rsidR="00467005" w:rsidRDefault="009E643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517419">
        <w:rPr>
          <w:rFonts w:ascii="Tahoma" w:hAnsi="Tahoma" w:cs="Tahoma"/>
        </w:rPr>
        <w:t>omme</w:t>
      </w:r>
      <w:r>
        <w:rPr>
          <w:rFonts w:ascii="Tahoma" w:hAnsi="Tahoma" w:cs="Tahoma"/>
        </w:rPr>
        <w:t xml:space="preserve"> je l’ai déjà dit, les prix trouveront </w:t>
      </w:r>
      <w:r w:rsidR="004C3135">
        <w:rPr>
          <w:rFonts w:ascii="Tahoma" w:hAnsi="Tahoma" w:cs="Tahoma"/>
        </w:rPr>
        <w:t>en</w:t>
      </w:r>
      <w:r>
        <w:rPr>
          <w:rFonts w:ascii="Tahoma" w:hAnsi="Tahoma" w:cs="Tahoma"/>
        </w:rPr>
        <w:t xml:space="preserve"> support </w:t>
      </w:r>
      <w:r w:rsidR="004C3135">
        <w:rPr>
          <w:rFonts w:ascii="Tahoma" w:hAnsi="Tahoma" w:cs="Tahoma"/>
        </w:rPr>
        <w:t>le plat mensuel</w:t>
      </w:r>
      <w:r>
        <w:rPr>
          <w:rFonts w:ascii="Tahoma" w:hAnsi="Tahoma" w:cs="Tahoma"/>
        </w:rPr>
        <w:t xml:space="preserve"> de KS passée sur 119.40.</w:t>
      </w:r>
    </w:p>
    <w:p w14:paraId="632EBCC1" w14:textId="0012C7B1" w:rsidR="009E6432" w:rsidRDefault="009E643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remise en question </w:t>
      </w:r>
      <w:r w:rsidR="00B0044E">
        <w:rPr>
          <w:rFonts w:ascii="Tahoma" w:hAnsi="Tahoma" w:cs="Tahoma"/>
        </w:rPr>
        <w:t xml:space="preserve">de la domination des vendeurs devra passer par un retour des prix </w:t>
      </w:r>
      <w:r w:rsidR="004C3135">
        <w:rPr>
          <w:rFonts w:ascii="Tahoma" w:hAnsi="Tahoma" w:cs="Tahoma"/>
        </w:rPr>
        <w:t>au-dessus</w:t>
      </w:r>
      <w:r w:rsidR="00B0044E">
        <w:rPr>
          <w:rFonts w:ascii="Tahoma" w:hAnsi="Tahoma" w:cs="Tahoma"/>
        </w:rPr>
        <w:t xml:space="preserve"> de 121.28.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3C5C3661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0044E">
        <w:rPr>
          <w:rFonts w:ascii="Tahoma" w:hAnsi="Tahoma" w:cs="Tahoma"/>
        </w:rPr>
        <w:t xml:space="preserve"> La poursuite de la baisse est envisagée pour la semaine à venir mais cette dernière devrait se limiter dans un premier temps au support de 119.40.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195B"/>
    <w:rsid w:val="000833FB"/>
    <w:rsid w:val="00092058"/>
    <w:rsid w:val="000938CC"/>
    <w:rsid w:val="000B221E"/>
    <w:rsid w:val="000B7DFC"/>
    <w:rsid w:val="000C0DE4"/>
    <w:rsid w:val="000D4ED3"/>
    <w:rsid w:val="000E0A0C"/>
    <w:rsid w:val="001018AD"/>
    <w:rsid w:val="00103ED4"/>
    <w:rsid w:val="00105B4E"/>
    <w:rsid w:val="0011055E"/>
    <w:rsid w:val="00134AFA"/>
    <w:rsid w:val="00135766"/>
    <w:rsid w:val="0014687D"/>
    <w:rsid w:val="00152498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9178E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C3135"/>
    <w:rsid w:val="004F48EE"/>
    <w:rsid w:val="00517419"/>
    <w:rsid w:val="00531928"/>
    <w:rsid w:val="005440A4"/>
    <w:rsid w:val="00546A5A"/>
    <w:rsid w:val="00566580"/>
    <w:rsid w:val="00567AF3"/>
    <w:rsid w:val="00583BC8"/>
    <w:rsid w:val="006009EE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68C9"/>
    <w:rsid w:val="0083454A"/>
    <w:rsid w:val="00837B38"/>
    <w:rsid w:val="0086224A"/>
    <w:rsid w:val="00896554"/>
    <w:rsid w:val="008A7407"/>
    <w:rsid w:val="008F10C2"/>
    <w:rsid w:val="00902D2F"/>
    <w:rsid w:val="0091288C"/>
    <w:rsid w:val="00961FDF"/>
    <w:rsid w:val="00983B7D"/>
    <w:rsid w:val="009A37C2"/>
    <w:rsid w:val="009E6432"/>
    <w:rsid w:val="009F3AB8"/>
    <w:rsid w:val="00A11606"/>
    <w:rsid w:val="00A444C0"/>
    <w:rsid w:val="00A6401C"/>
    <w:rsid w:val="00A81AB7"/>
    <w:rsid w:val="00AA522C"/>
    <w:rsid w:val="00AE7F3B"/>
    <w:rsid w:val="00B0044E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E3263"/>
    <w:rsid w:val="00CF2516"/>
    <w:rsid w:val="00CF6D63"/>
    <w:rsid w:val="00D23B28"/>
    <w:rsid w:val="00D46C8D"/>
    <w:rsid w:val="00D5111D"/>
    <w:rsid w:val="00D6133A"/>
    <w:rsid w:val="00DA1359"/>
    <w:rsid w:val="00DD23A4"/>
    <w:rsid w:val="00DE5444"/>
    <w:rsid w:val="00DF072F"/>
    <w:rsid w:val="00E32014"/>
    <w:rsid w:val="00E3727C"/>
    <w:rsid w:val="00E644E9"/>
    <w:rsid w:val="00EB58BA"/>
    <w:rsid w:val="00EE6B93"/>
    <w:rsid w:val="00F04A6E"/>
    <w:rsid w:val="00F04DEF"/>
    <w:rsid w:val="00F31070"/>
    <w:rsid w:val="00F53F10"/>
    <w:rsid w:val="00F55395"/>
    <w:rsid w:val="00F636F8"/>
    <w:rsid w:val="00FA2C8E"/>
    <w:rsid w:val="00FA65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4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2026-09-13T06:38:00Z</dcterms:modified>
</cp:coreProperties>
</file>