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49A22812" w:rsidR="00902D2F" w:rsidRPr="00263ED0" w:rsidRDefault="00263ED0" w:rsidP="00B41C02">
      <w:pPr>
        <w:jc w:val="both"/>
        <w:rPr>
          <w:rFonts w:ascii="Tahoma" w:hAnsi="Tahoma" w:cs="Tahoma"/>
          <w:sz w:val="48"/>
          <w:szCs w:val="48"/>
          <w:u w:val="single"/>
        </w:rPr>
      </w:pPr>
      <w:r>
        <w:rPr>
          <w:rFonts w:ascii="Tahoma" w:hAnsi="Tahoma" w:cs="Tahoma"/>
        </w:rPr>
        <w:t xml:space="preserve">                                      </w:t>
      </w:r>
      <w:r w:rsidR="00F45B26">
        <w:rPr>
          <w:rFonts w:ascii="Tahoma" w:hAnsi="Tahoma" w:cs="Tahoma"/>
          <w:sz w:val="48"/>
          <w:szCs w:val="48"/>
          <w:u w:val="single"/>
        </w:rPr>
        <w:t>CAP GEMINI</w:t>
      </w:r>
    </w:p>
    <w:p w14:paraId="6A0F7EC2" w14:textId="2D67ED4B" w:rsidR="00902D2F" w:rsidRPr="00041E45" w:rsidRDefault="006D0A4F" w:rsidP="00B41C02">
      <w:pPr>
        <w:jc w:val="both"/>
        <w:rPr>
          <w:rFonts w:ascii="Tahoma" w:hAnsi="Tahoma" w:cs="Tahoma"/>
          <w:sz w:val="32"/>
          <w:szCs w:val="32"/>
          <w:u w:val="single"/>
        </w:rPr>
      </w:pPr>
      <w:r>
        <w:rPr>
          <w:rFonts w:ascii="Tahoma" w:hAnsi="Tahoma" w:cs="Tahoma"/>
          <w:sz w:val="32"/>
          <w:szCs w:val="32"/>
          <w:u w:val="single"/>
        </w:rPr>
        <w:t>Day</w:t>
      </w:r>
    </w:p>
    <w:p w14:paraId="2862B446" w14:textId="6FA6891D" w:rsidR="00902D2F" w:rsidRDefault="00CA497E" w:rsidP="00B41C02">
      <w:pPr>
        <w:jc w:val="both"/>
        <w:rPr>
          <w:rFonts w:ascii="Tahoma" w:hAnsi="Tahoma" w:cs="Tahoma"/>
        </w:rPr>
      </w:pPr>
      <w:r>
        <w:rPr>
          <w:noProof/>
        </w:rPr>
        <w:drawing>
          <wp:inline distT="0" distB="0" distL="0" distR="0" wp14:anchorId="638B8A0B" wp14:editId="0FE083FC">
            <wp:extent cx="5760720" cy="4320540"/>
            <wp:effectExtent l="0" t="0" r="0" b="3810"/>
            <wp:docPr id="103298207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9997017"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CA497E">
        <w:rPr>
          <w:rFonts w:ascii="Tahoma" w:hAnsi="Tahoma" w:cs="Tahoma"/>
        </w:rPr>
        <w:t>es nombreux twists qui ont pris forme ces derniers mois plaident pour une entrée de l’action dans une phase de consolidation.</w:t>
      </w:r>
    </w:p>
    <w:p w14:paraId="69070326" w14:textId="48E31DFF" w:rsidR="00CA497E" w:rsidRDefault="00CA497E" w:rsidP="00B41C02">
      <w:pPr>
        <w:jc w:val="both"/>
        <w:rPr>
          <w:rFonts w:ascii="Tahoma" w:hAnsi="Tahoma" w:cs="Tahoma"/>
        </w:rPr>
      </w:pPr>
      <w:r>
        <w:rPr>
          <w:rFonts w:ascii="Tahoma" w:hAnsi="Tahoma" w:cs="Tahoma"/>
        </w:rPr>
        <w:t>J’ai cadré cette dernière entre 85.70 et 112.10, points qui reprennent des bas et hauts récents.</w:t>
      </w:r>
    </w:p>
    <w:p w14:paraId="1906432B" w14:textId="1CF0E449" w:rsidR="00CA497E" w:rsidRDefault="00F95A50" w:rsidP="00B41C02">
      <w:pPr>
        <w:jc w:val="both"/>
        <w:rPr>
          <w:rFonts w:ascii="Tahoma" w:hAnsi="Tahoma" w:cs="Tahoma"/>
        </w:rPr>
      </w:pPr>
      <w:r>
        <w:rPr>
          <w:rFonts w:ascii="Tahoma" w:hAnsi="Tahoma" w:cs="Tahoma"/>
        </w:rPr>
        <w:t>Je définirai la zone d’équilibre de cette dérive latérale sur 98.735 qui reprend d’une part le plat de KS passée et d’autre part le plat de SSB future.</w:t>
      </w:r>
    </w:p>
    <w:p w14:paraId="71787279" w14:textId="74E175EB" w:rsidR="00F95A50" w:rsidRDefault="00DD46B5" w:rsidP="00B41C02">
      <w:pPr>
        <w:jc w:val="both"/>
        <w:rPr>
          <w:rFonts w:ascii="Tahoma" w:hAnsi="Tahoma" w:cs="Tahoma"/>
        </w:rPr>
      </w:pPr>
      <w:r>
        <w:rPr>
          <w:rFonts w:ascii="Tahoma" w:hAnsi="Tahoma" w:cs="Tahoma"/>
        </w:rPr>
        <w:t>Au-dessus</w:t>
      </w:r>
      <w:r w:rsidR="00F95A50">
        <w:rPr>
          <w:rFonts w:ascii="Tahoma" w:hAnsi="Tahoma" w:cs="Tahoma"/>
        </w:rPr>
        <w:t xml:space="preserve"> de 98.735, le biais </w:t>
      </w:r>
      <w:r w:rsidR="00F45B26">
        <w:rPr>
          <w:rFonts w:ascii="Tahoma" w:hAnsi="Tahoma" w:cs="Tahoma"/>
        </w:rPr>
        <w:t>sera</w:t>
      </w:r>
      <w:r w:rsidR="00F95A50">
        <w:rPr>
          <w:rFonts w:ascii="Tahoma" w:hAnsi="Tahoma" w:cs="Tahoma"/>
        </w:rPr>
        <w:t xml:space="preserve"> positif et avantage</w:t>
      </w:r>
      <w:r w:rsidR="00F45B26">
        <w:rPr>
          <w:rFonts w:ascii="Tahoma" w:hAnsi="Tahoma" w:cs="Tahoma"/>
        </w:rPr>
        <w:t>ra</w:t>
      </w:r>
      <w:r w:rsidR="00F95A50">
        <w:rPr>
          <w:rFonts w:ascii="Tahoma" w:hAnsi="Tahoma" w:cs="Tahoma"/>
        </w:rPr>
        <w:t xml:space="preserve"> sur le court terme le test de la borne haute de la dérive latérale</w:t>
      </w:r>
      <w:r w:rsidR="00DB78E8">
        <w:rPr>
          <w:rFonts w:ascii="Tahoma" w:hAnsi="Tahoma" w:cs="Tahoma"/>
        </w:rPr>
        <w:t>.</w:t>
      </w:r>
    </w:p>
    <w:p w14:paraId="52485ACF" w14:textId="75FF98A5" w:rsidR="00DB78E8" w:rsidRDefault="00DB78E8" w:rsidP="00B41C02">
      <w:pPr>
        <w:jc w:val="both"/>
        <w:rPr>
          <w:rFonts w:ascii="Tahoma" w:hAnsi="Tahoma" w:cs="Tahoma"/>
        </w:rPr>
      </w:pPr>
      <w:r>
        <w:rPr>
          <w:rFonts w:ascii="Tahoma" w:hAnsi="Tahoma" w:cs="Tahoma"/>
        </w:rPr>
        <w:t xml:space="preserve">Le gap ou </w:t>
      </w:r>
      <w:r w:rsidR="00DD46B5">
        <w:rPr>
          <w:rFonts w:ascii="Tahoma" w:hAnsi="Tahoma" w:cs="Tahoma"/>
        </w:rPr>
        <w:t>fenêtre</w:t>
      </w:r>
      <w:r>
        <w:rPr>
          <w:rFonts w:ascii="Tahoma" w:hAnsi="Tahoma" w:cs="Tahoma"/>
        </w:rPr>
        <w:t xml:space="preserve"> ouverte le 14 septembre entre 103.00 et 105.45 va lui aussi dans ce sens. En chandeliers japonais, les </w:t>
      </w:r>
      <w:r w:rsidR="00DD46B5">
        <w:rPr>
          <w:rFonts w:ascii="Tahoma" w:hAnsi="Tahoma" w:cs="Tahoma"/>
        </w:rPr>
        <w:t>fenêtres</w:t>
      </w:r>
      <w:r>
        <w:rPr>
          <w:rFonts w:ascii="Tahoma" w:hAnsi="Tahoma" w:cs="Tahoma"/>
        </w:rPr>
        <w:t xml:space="preserve"> sont des figures de continuation de mouvement.</w:t>
      </w:r>
      <w:r w:rsidR="00C83AFB">
        <w:rPr>
          <w:rFonts w:ascii="Tahoma" w:hAnsi="Tahoma" w:cs="Tahoma"/>
        </w:rPr>
        <w:t xml:space="preserve"> Cela signifie ici que tant que cette </w:t>
      </w:r>
      <w:r w:rsidR="00DD46B5">
        <w:rPr>
          <w:rFonts w:ascii="Tahoma" w:hAnsi="Tahoma" w:cs="Tahoma"/>
        </w:rPr>
        <w:t>fenêtre</w:t>
      </w:r>
      <w:r w:rsidR="00C83AFB">
        <w:rPr>
          <w:rFonts w:ascii="Tahoma" w:hAnsi="Tahoma" w:cs="Tahoma"/>
        </w:rPr>
        <w:t xml:space="preserve"> ne sera pas invalidée par une </w:t>
      </w:r>
      <w:r w:rsidR="00DD46B5">
        <w:rPr>
          <w:rFonts w:ascii="Tahoma" w:hAnsi="Tahoma" w:cs="Tahoma"/>
        </w:rPr>
        <w:t>clôture</w:t>
      </w:r>
      <w:r w:rsidR="00C83AFB">
        <w:rPr>
          <w:rFonts w:ascii="Tahoma" w:hAnsi="Tahoma" w:cs="Tahoma"/>
        </w:rPr>
        <w:t xml:space="preserve"> sous 103.00, le biais sera favorable à la hausse</w:t>
      </w:r>
      <w:r w:rsidR="000C3A20">
        <w:rPr>
          <w:rFonts w:ascii="Tahoma" w:hAnsi="Tahoma" w:cs="Tahoma"/>
        </w:rPr>
        <w:t>.</w:t>
      </w:r>
    </w:p>
    <w:p w14:paraId="6456B2AC" w14:textId="77777777" w:rsidR="00A444C0" w:rsidRDefault="00A444C0"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68530243" w:rsidR="00A444C0" w:rsidRDefault="003E2186" w:rsidP="00A444C0">
      <w:pPr>
        <w:jc w:val="both"/>
        <w:rPr>
          <w:rFonts w:ascii="Tahoma" w:hAnsi="Tahoma" w:cs="Tahoma"/>
        </w:rPr>
      </w:pPr>
      <w:r>
        <w:rPr>
          <w:noProof/>
        </w:rPr>
        <w:lastRenderedPageBreak/>
        <w:drawing>
          <wp:inline distT="0" distB="0" distL="0" distR="0" wp14:anchorId="44CFDD79" wp14:editId="148F5EDF">
            <wp:extent cx="5760720" cy="4320540"/>
            <wp:effectExtent l="0" t="0" r="0" b="3810"/>
            <wp:docPr id="10690607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64904239" w14:textId="0875BA27" w:rsidR="000C3A20" w:rsidRDefault="000C3A20" w:rsidP="00B41C02">
      <w:pPr>
        <w:jc w:val="both"/>
        <w:rPr>
          <w:rFonts w:ascii="Tahoma" w:hAnsi="Tahoma" w:cs="Tahoma"/>
        </w:rPr>
      </w:pPr>
      <w:r>
        <w:rPr>
          <w:rFonts w:ascii="Tahoma" w:hAnsi="Tahoma" w:cs="Tahoma"/>
        </w:rPr>
        <w:t>Sur un horizon hebdomadaire, le contexte reste baissier avec des cours qui se maintiennent  sous un nuage décroissant.</w:t>
      </w:r>
    </w:p>
    <w:p w14:paraId="0A053E26" w14:textId="4E8372A4" w:rsidR="000C3A20" w:rsidRDefault="000C3A20" w:rsidP="00B41C02">
      <w:pPr>
        <w:jc w:val="both"/>
        <w:rPr>
          <w:rFonts w:ascii="Tahoma" w:hAnsi="Tahoma" w:cs="Tahoma"/>
        </w:rPr>
      </w:pPr>
      <w:r>
        <w:rPr>
          <w:rFonts w:ascii="Tahoma" w:hAnsi="Tahoma" w:cs="Tahoma"/>
        </w:rPr>
        <w:t xml:space="preserve">Le plat de TS et de KS qui se développe sur 98.735 apporte un soutien à la zone neutre </w:t>
      </w:r>
      <w:r w:rsidR="00DD46B5">
        <w:rPr>
          <w:rFonts w:ascii="Tahoma" w:hAnsi="Tahoma" w:cs="Tahoma"/>
        </w:rPr>
        <w:t>déterminée</w:t>
      </w:r>
      <w:r>
        <w:rPr>
          <w:rFonts w:ascii="Tahoma" w:hAnsi="Tahoma" w:cs="Tahoma"/>
        </w:rPr>
        <w:t xml:space="preserve"> en </w:t>
      </w:r>
      <w:r w:rsidR="00EB1190">
        <w:rPr>
          <w:rFonts w:ascii="Tahoma" w:hAnsi="Tahoma" w:cs="Tahoma"/>
        </w:rPr>
        <w:t>Daily.</w:t>
      </w:r>
    </w:p>
    <w:p w14:paraId="226612F6" w14:textId="431842BB" w:rsidR="00EB1190" w:rsidRDefault="00EB1190" w:rsidP="00B41C02">
      <w:pPr>
        <w:jc w:val="both"/>
        <w:rPr>
          <w:rFonts w:ascii="Tahoma" w:hAnsi="Tahoma" w:cs="Tahoma"/>
        </w:rPr>
      </w:pPr>
      <w:r>
        <w:rPr>
          <w:rFonts w:ascii="Tahoma" w:hAnsi="Tahoma" w:cs="Tahoma"/>
        </w:rPr>
        <w:t xml:space="preserve">La réduction du volume n’est pas marquante mais on peut </w:t>
      </w:r>
      <w:r w:rsidR="00F45B26">
        <w:rPr>
          <w:rFonts w:ascii="Tahoma" w:hAnsi="Tahoma" w:cs="Tahoma"/>
        </w:rPr>
        <w:t xml:space="preserve">en </w:t>
      </w:r>
      <w:r>
        <w:rPr>
          <w:rFonts w:ascii="Tahoma" w:hAnsi="Tahoma" w:cs="Tahoma"/>
        </w:rPr>
        <w:t xml:space="preserve">constater une baisse depuis le long chandelier blanc. Ces indications laissent penser qu’une figure en drapeau devrait se terminer par une rupture de 112.10 dont la  sortie </w:t>
      </w:r>
      <w:r w:rsidR="00DD46B5">
        <w:rPr>
          <w:rFonts w:ascii="Tahoma" w:hAnsi="Tahoma" w:cs="Tahoma"/>
        </w:rPr>
        <w:t>donnera</w:t>
      </w:r>
      <w:r>
        <w:rPr>
          <w:rFonts w:ascii="Tahoma" w:hAnsi="Tahoma" w:cs="Tahoma"/>
        </w:rPr>
        <w:t xml:space="preserve"> un objectif théorique sur 140.</w:t>
      </w:r>
    </w:p>
    <w:p w14:paraId="4BCC48C4" w14:textId="77777777" w:rsidR="00EB1190" w:rsidRDefault="00EB1190" w:rsidP="00B41C02">
      <w:pPr>
        <w:jc w:val="both"/>
        <w:rPr>
          <w:rFonts w:ascii="Tahoma" w:hAnsi="Tahoma" w:cs="Tahoma"/>
        </w:rPr>
      </w:pPr>
    </w:p>
    <w:p w14:paraId="56F5C1E7" w14:textId="77777777" w:rsidR="000C3A20" w:rsidRDefault="000C3A20" w:rsidP="00B41C02">
      <w:pPr>
        <w:jc w:val="both"/>
        <w:rPr>
          <w:rFonts w:ascii="Tahoma" w:hAnsi="Tahoma" w:cs="Tahoma"/>
        </w:rPr>
      </w:pPr>
    </w:p>
    <w:p w14:paraId="3FF34093" w14:textId="77777777" w:rsidR="000C3A20" w:rsidRDefault="000C3A20" w:rsidP="00B41C02">
      <w:pPr>
        <w:jc w:val="both"/>
        <w:rPr>
          <w:rFonts w:ascii="Tahoma" w:hAnsi="Tahoma" w:cs="Tahoma"/>
        </w:rPr>
      </w:pPr>
    </w:p>
    <w:p w14:paraId="53AA9186" w14:textId="2D1CABB0" w:rsidR="00583BC8" w:rsidRPr="00041E45" w:rsidRDefault="006D0A4F" w:rsidP="00B41C02">
      <w:pPr>
        <w:jc w:val="both"/>
        <w:rPr>
          <w:rFonts w:ascii="Tahoma" w:hAnsi="Tahoma" w:cs="Tahoma"/>
          <w:sz w:val="32"/>
          <w:szCs w:val="32"/>
          <w:u w:val="single"/>
        </w:rPr>
      </w:pPr>
      <w:r>
        <w:rPr>
          <w:rFonts w:ascii="Tahoma" w:hAnsi="Tahoma" w:cs="Tahoma"/>
          <w:sz w:val="32"/>
          <w:szCs w:val="32"/>
          <w:u w:val="single"/>
        </w:rPr>
        <w:t>Month</w:t>
      </w:r>
    </w:p>
    <w:p w14:paraId="1675B8DF" w14:textId="3DAD21B5" w:rsidR="00583BC8" w:rsidRDefault="003E2186" w:rsidP="00B41C02">
      <w:pPr>
        <w:jc w:val="both"/>
        <w:rPr>
          <w:rFonts w:ascii="Tahoma" w:hAnsi="Tahoma" w:cs="Tahoma"/>
        </w:rPr>
      </w:pPr>
      <w:r>
        <w:rPr>
          <w:noProof/>
        </w:rPr>
        <w:lastRenderedPageBreak/>
        <w:drawing>
          <wp:inline distT="0" distB="0" distL="0" distR="0" wp14:anchorId="5627DDC4" wp14:editId="24585D96">
            <wp:extent cx="5760720" cy="4320540"/>
            <wp:effectExtent l="0" t="0" r="0" b="3810"/>
            <wp:docPr id="97538418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647A3F6E" w:rsidR="00467005" w:rsidRDefault="00E96C4D" w:rsidP="00041E45">
      <w:pPr>
        <w:jc w:val="both"/>
        <w:rPr>
          <w:rFonts w:ascii="Tahoma" w:hAnsi="Tahoma" w:cs="Tahoma"/>
        </w:rPr>
      </w:pPr>
      <w:r>
        <w:rPr>
          <w:rFonts w:ascii="Tahoma" w:hAnsi="Tahoma" w:cs="Tahoma"/>
        </w:rPr>
        <w:t>Les donnée</w:t>
      </w:r>
      <w:r w:rsidR="00C93DF0">
        <w:rPr>
          <w:rFonts w:ascii="Tahoma" w:hAnsi="Tahoma" w:cs="Tahoma"/>
        </w:rPr>
        <w:t>s</w:t>
      </w:r>
      <w:r>
        <w:rPr>
          <w:rFonts w:ascii="Tahoma" w:hAnsi="Tahoma" w:cs="Tahoma"/>
        </w:rPr>
        <w:t xml:space="preserve"> mensuelles montrent </w:t>
      </w:r>
      <w:r w:rsidR="00C93DF0">
        <w:rPr>
          <w:rFonts w:ascii="Tahoma" w:hAnsi="Tahoma" w:cs="Tahoma"/>
        </w:rPr>
        <w:t>des cours et une LS</w:t>
      </w:r>
      <w:r>
        <w:rPr>
          <w:rFonts w:ascii="Tahoma" w:hAnsi="Tahoma" w:cs="Tahoma"/>
        </w:rPr>
        <w:t xml:space="preserve"> positionné</w:t>
      </w:r>
      <w:r w:rsidR="00C93DF0">
        <w:rPr>
          <w:rFonts w:ascii="Tahoma" w:hAnsi="Tahoma" w:cs="Tahoma"/>
        </w:rPr>
        <w:t>s</w:t>
      </w:r>
      <w:r>
        <w:rPr>
          <w:rFonts w:ascii="Tahoma" w:hAnsi="Tahoma" w:cs="Tahoma"/>
        </w:rPr>
        <w:t xml:space="preserve"> sous </w:t>
      </w:r>
      <w:r w:rsidR="00C93DF0">
        <w:rPr>
          <w:rFonts w:ascii="Tahoma" w:hAnsi="Tahoma" w:cs="Tahoma"/>
        </w:rPr>
        <w:t>leur</w:t>
      </w:r>
      <w:r>
        <w:rPr>
          <w:rFonts w:ascii="Tahoma" w:hAnsi="Tahoma" w:cs="Tahoma"/>
        </w:rPr>
        <w:t xml:space="preserve"> nuage</w:t>
      </w:r>
      <w:r w:rsidR="00C93DF0">
        <w:rPr>
          <w:rFonts w:ascii="Tahoma" w:hAnsi="Tahoma" w:cs="Tahoma"/>
        </w:rPr>
        <w:t xml:space="preserve"> respectif ce qui permet d’écarter le contexte haussier de </w:t>
      </w:r>
      <w:r w:rsidR="00DD46B5">
        <w:rPr>
          <w:rFonts w:ascii="Tahoma" w:hAnsi="Tahoma" w:cs="Tahoma"/>
        </w:rPr>
        <w:t>l’analyse.</w:t>
      </w:r>
    </w:p>
    <w:p w14:paraId="489C2F04" w14:textId="11ACC462" w:rsidR="00523BF9" w:rsidRDefault="00C93DF0" w:rsidP="00041E45">
      <w:pPr>
        <w:jc w:val="both"/>
        <w:rPr>
          <w:rFonts w:ascii="Tahoma" w:hAnsi="Tahoma" w:cs="Tahoma"/>
        </w:rPr>
      </w:pPr>
      <w:r>
        <w:rPr>
          <w:rFonts w:ascii="Tahoma" w:hAnsi="Tahoma" w:cs="Tahoma"/>
        </w:rPr>
        <w:t xml:space="preserve">La </w:t>
      </w:r>
      <w:r w:rsidR="007B2573">
        <w:rPr>
          <w:rFonts w:ascii="Tahoma" w:hAnsi="Tahoma" w:cs="Tahoma"/>
        </w:rPr>
        <w:t>forme plate</w:t>
      </w:r>
      <w:r>
        <w:rPr>
          <w:rFonts w:ascii="Tahoma" w:hAnsi="Tahoma" w:cs="Tahoma"/>
        </w:rPr>
        <w:t xml:space="preserve"> de la TS et de la KS indique l’absence de directionnalité des prix</w:t>
      </w:r>
      <w:r w:rsidR="00F45B26">
        <w:rPr>
          <w:rFonts w:ascii="Tahoma" w:hAnsi="Tahoma" w:cs="Tahoma"/>
        </w:rPr>
        <w:t xml:space="preserve"> et</w:t>
      </w:r>
      <w:r w:rsidR="007B2573">
        <w:rPr>
          <w:rFonts w:ascii="Tahoma" w:hAnsi="Tahoma" w:cs="Tahoma"/>
        </w:rPr>
        <w:t xml:space="preserve"> milite pour un contexte sans tendance force.</w:t>
      </w:r>
      <w:r w:rsidR="00523BF9">
        <w:rPr>
          <w:rFonts w:ascii="Tahoma" w:hAnsi="Tahoma" w:cs="Tahoma"/>
        </w:rPr>
        <w:t xml:space="preserve"> Ces deux courbes se situent sur 116.95 et 137.46. </w:t>
      </w:r>
      <w:r w:rsidR="00DD46B5">
        <w:rPr>
          <w:rFonts w:ascii="Tahoma" w:hAnsi="Tahoma" w:cs="Tahoma"/>
        </w:rPr>
        <w:t>Elles pourront</w:t>
      </w:r>
      <w:r w:rsidR="00523BF9">
        <w:rPr>
          <w:rFonts w:ascii="Tahoma" w:hAnsi="Tahoma" w:cs="Tahoma"/>
        </w:rPr>
        <w:t xml:space="preserve"> servir de résistance</w:t>
      </w:r>
      <w:r w:rsidR="00F45B26">
        <w:rPr>
          <w:rFonts w:ascii="Tahoma" w:hAnsi="Tahoma" w:cs="Tahoma"/>
        </w:rPr>
        <w:t xml:space="preserve"> le cas échéant</w:t>
      </w:r>
      <w:r w:rsidR="00523BF9">
        <w:rPr>
          <w:rFonts w:ascii="Tahoma" w:hAnsi="Tahoma" w:cs="Tahoma"/>
        </w:rPr>
        <w:t>.</w:t>
      </w:r>
    </w:p>
    <w:p w14:paraId="4F0294BF" w14:textId="01359F26" w:rsidR="00523BF9" w:rsidRDefault="00523BF9" w:rsidP="00B94D71">
      <w:pPr>
        <w:jc w:val="both"/>
        <w:rPr>
          <w:rFonts w:ascii="Tahoma" w:hAnsi="Tahoma" w:cs="Tahoma"/>
        </w:rPr>
      </w:pPr>
      <w:r>
        <w:rPr>
          <w:rFonts w:ascii="Tahoma" w:hAnsi="Tahoma" w:cs="Tahoma"/>
        </w:rPr>
        <w:t>La chandelle de juillet dessine avec la précédente un avalement haussier qui se classe dans les figures de retournement. Elle est renforcée par un creux en pince qui devrait inciter les vendeurs à revoir leurs postions s</w:t>
      </w:r>
      <w:r w:rsidR="00F45B26">
        <w:rPr>
          <w:rFonts w:ascii="Tahoma" w:hAnsi="Tahoma" w:cs="Tahoma"/>
        </w:rPr>
        <w:t xml:space="preserve">’ils pensent que </w:t>
      </w:r>
      <w:r>
        <w:rPr>
          <w:rFonts w:ascii="Tahoma" w:hAnsi="Tahoma" w:cs="Tahoma"/>
        </w:rPr>
        <w:t xml:space="preserve">les prix </w:t>
      </w:r>
      <w:r w:rsidR="002D600E">
        <w:rPr>
          <w:rFonts w:ascii="Tahoma" w:hAnsi="Tahoma" w:cs="Tahoma"/>
        </w:rPr>
        <w:t>ne continu</w:t>
      </w:r>
      <w:r w:rsidR="00F45B26">
        <w:rPr>
          <w:rFonts w:ascii="Tahoma" w:hAnsi="Tahoma" w:cs="Tahoma"/>
        </w:rPr>
        <w:t>eron</w:t>
      </w:r>
      <w:r w:rsidR="002D600E">
        <w:rPr>
          <w:rFonts w:ascii="Tahoma" w:hAnsi="Tahoma" w:cs="Tahoma"/>
        </w:rPr>
        <w:t xml:space="preserve">t pas le mouvement commencé </w:t>
      </w:r>
      <w:r w:rsidR="00552114">
        <w:rPr>
          <w:rFonts w:ascii="Tahoma" w:hAnsi="Tahoma" w:cs="Tahoma"/>
        </w:rPr>
        <w:t xml:space="preserve">il y a plusieurs mois </w:t>
      </w:r>
      <w:r w:rsidR="002D600E">
        <w:rPr>
          <w:rFonts w:ascii="Tahoma" w:hAnsi="Tahoma" w:cs="Tahoma"/>
        </w:rPr>
        <w:t>sur 211.80.</w:t>
      </w:r>
    </w:p>
    <w:p w14:paraId="567D811D" w14:textId="77777777" w:rsidR="002B0633" w:rsidRDefault="002B0633" w:rsidP="00B94D71">
      <w:pPr>
        <w:jc w:val="both"/>
        <w:rPr>
          <w:rFonts w:ascii="Tahoma" w:hAnsi="Tahoma" w:cs="Tahoma"/>
        </w:rPr>
      </w:pPr>
    </w:p>
    <w:p w14:paraId="258EB8FF" w14:textId="2613FBDF" w:rsidR="00B94D71" w:rsidRDefault="00B94D71" w:rsidP="005A50A0">
      <w:pPr>
        <w:spacing w:after="0"/>
        <w:jc w:val="both"/>
        <w:rPr>
          <w:rFonts w:ascii="Tahoma" w:hAnsi="Tahoma" w:cs="Tahoma"/>
        </w:rPr>
      </w:pPr>
      <w:r>
        <w:rPr>
          <w:rFonts w:ascii="Tahoma" w:hAnsi="Tahoma" w:cs="Tahoma"/>
          <w:u w:val="single"/>
        </w:rPr>
        <w:t>CONCLUSION</w:t>
      </w:r>
      <w:r>
        <w:rPr>
          <w:rFonts w:ascii="Tahoma" w:hAnsi="Tahoma" w:cs="Tahoma"/>
        </w:rPr>
        <w:t> :</w:t>
      </w:r>
      <w:r w:rsidR="00552114">
        <w:rPr>
          <w:rFonts w:ascii="Tahoma" w:hAnsi="Tahoma" w:cs="Tahoma"/>
        </w:rPr>
        <w:t xml:space="preserve"> plusieurs éléments militent pour adopter un biais positif. Sur le court terme le maintien des prix </w:t>
      </w:r>
      <w:r w:rsidR="00DD46B5">
        <w:rPr>
          <w:rFonts w:ascii="Tahoma" w:hAnsi="Tahoma" w:cs="Tahoma"/>
        </w:rPr>
        <w:t>au-dessus</w:t>
      </w:r>
      <w:r w:rsidR="00552114">
        <w:rPr>
          <w:rFonts w:ascii="Tahoma" w:hAnsi="Tahoma" w:cs="Tahoma"/>
        </w:rPr>
        <w:t xml:space="preserve"> de </w:t>
      </w:r>
      <w:r w:rsidR="004830A2">
        <w:rPr>
          <w:rFonts w:ascii="Tahoma" w:hAnsi="Tahoma" w:cs="Tahoma"/>
        </w:rPr>
        <w:t xml:space="preserve">103.00 sera le premier </w:t>
      </w:r>
      <w:r w:rsidR="00DD46B5">
        <w:rPr>
          <w:rFonts w:ascii="Tahoma" w:hAnsi="Tahoma" w:cs="Tahoma"/>
        </w:rPr>
        <w:t>élément</w:t>
      </w:r>
      <w:r w:rsidR="004830A2">
        <w:rPr>
          <w:rFonts w:ascii="Tahoma" w:hAnsi="Tahoma" w:cs="Tahoma"/>
        </w:rPr>
        <w:t>.</w:t>
      </w:r>
    </w:p>
    <w:p w14:paraId="5E5F6C9C" w14:textId="67B24E03" w:rsidR="004830A2" w:rsidRDefault="004830A2" w:rsidP="005A50A0">
      <w:pPr>
        <w:spacing w:after="0"/>
        <w:jc w:val="both"/>
        <w:rPr>
          <w:rFonts w:ascii="Tahoma" w:hAnsi="Tahoma" w:cs="Tahoma"/>
        </w:rPr>
      </w:pPr>
      <w:r>
        <w:rPr>
          <w:rFonts w:ascii="Tahoma" w:hAnsi="Tahoma" w:cs="Tahoma"/>
        </w:rPr>
        <w:t>Cette unité de temps sera rejoint</w:t>
      </w:r>
      <w:r w:rsidR="00DD46B5">
        <w:rPr>
          <w:rFonts w:ascii="Tahoma" w:hAnsi="Tahoma" w:cs="Tahoma"/>
        </w:rPr>
        <w:t>e</w:t>
      </w:r>
      <w:r>
        <w:rPr>
          <w:rFonts w:ascii="Tahoma" w:hAnsi="Tahoma" w:cs="Tahoma"/>
        </w:rPr>
        <w:t xml:space="preserve"> par le moyen terme où un plat de TS et de KS définit un support sur 98.735. Ce plat représente la zone neutre de la consolidation de court terme.</w:t>
      </w:r>
    </w:p>
    <w:p w14:paraId="2F24B212" w14:textId="0082890A" w:rsidR="004830A2" w:rsidRDefault="00AE0CBD" w:rsidP="005A50A0">
      <w:pPr>
        <w:spacing w:after="0"/>
        <w:jc w:val="both"/>
        <w:rPr>
          <w:rFonts w:ascii="Tahoma" w:hAnsi="Tahoma" w:cs="Tahoma"/>
        </w:rPr>
      </w:pPr>
      <w:r>
        <w:rPr>
          <w:rFonts w:ascii="Tahoma" w:hAnsi="Tahoma" w:cs="Tahoma"/>
        </w:rPr>
        <w:t>Sur le long terme, avalement haussier et creux en pince militent pour un retour de la hausse des prix.</w:t>
      </w:r>
      <w:r w:rsidR="004830A2">
        <w:rPr>
          <w:rFonts w:ascii="Tahoma" w:hAnsi="Tahoma" w:cs="Tahoma"/>
        </w:rPr>
        <w:t xml:space="preserve"> </w:t>
      </w:r>
    </w:p>
    <w:p w14:paraId="7E779668" w14:textId="6E3C79AA" w:rsidR="00681A27" w:rsidRDefault="00FF4CBE" w:rsidP="005A50A0">
      <w:pPr>
        <w:spacing w:after="0"/>
        <w:jc w:val="both"/>
        <w:rPr>
          <w:rFonts w:ascii="Tahoma" w:hAnsi="Tahoma" w:cs="Tahoma"/>
        </w:rPr>
      </w:pPr>
      <w:r>
        <w:rPr>
          <w:rFonts w:ascii="Tahoma" w:hAnsi="Tahoma" w:cs="Tahoma"/>
        </w:rPr>
        <w:t>Il ne faut pas s’</w:t>
      </w:r>
      <w:r w:rsidR="00B21EA2">
        <w:rPr>
          <w:rFonts w:ascii="Tahoma" w:hAnsi="Tahoma" w:cs="Tahoma"/>
        </w:rPr>
        <w:t>attendre</w:t>
      </w:r>
      <w:r>
        <w:rPr>
          <w:rFonts w:ascii="Tahoma" w:hAnsi="Tahoma" w:cs="Tahoma"/>
        </w:rPr>
        <w:t xml:space="preserve"> un rebond </w:t>
      </w:r>
      <w:r w:rsidR="00B21EA2">
        <w:rPr>
          <w:rFonts w:ascii="Tahoma" w:hAnsi="Tahoma" w:cs="Tahoma"/>
        </w:rPr>
        <w:t>extraordinaire</w:t>
      </w:r>
      <w:r>
        <w:rPr>
          <w:rFonts w:ascii="Tahoma" w:hAnsi="Tahoma" w:cs="Tahoma"/>
        </w:rPr>
        <w:t xml:space="preserve">. Moyen terme et long terme reste dans un environnement baissier. </w:t>
      </w:r>
    </w:p>
    <w:p w14:paraId="655E9AC0" w14:textId="2F6FDDA9" w:rsidR="00723F77" w:rsidRDefault="00681A27" w:rsidP="00041E45">
      <w:pPr>
        <w:jc w:val="both"/>
        <w:rPr>
          <w:rFonts w:ascii="Tahoma" w:hAnsi="Tahoma" w:cs="Tahoma"/>
        </w:rPr>
      </w:pPr>
      <w:r>
        <w:rPr>
          <w:rFonts w:ascii="Tahoma" w:hAnsi="Tahoma" w:cs="Tahoma"/>
        </w:rPr>
        <w:t>L</w:t>
      </w:r>
      <w:r w:rsidR="00577AA5">
        <w:rPr>
          <w:rFonts w:ascii="Tahoma" w:hAnsi="Tahoma" w:cs="Tahoma"/>
        </w:rPr>
        <w:t>es résistances potentielles en cassure de 112.10 seront 116.95,120.80 et 121.80</w:t>
      </w: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lastRenderedPageBreak/>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C3A20"/>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0633"/>
    <w:rsid w:val="002B5CB1"/>
    <w:rsid w:val="002C0A31"/>
    <w:rsid w:val="002D600E"/>
    <w:rsid w:val="002F54B0"/>
    <w:rsid w:val="00303214"/>
    <w:rsid w:val="0030643B"/>
    <w:rsid w:val="00337611"/>
    <w:rsid w:val="00340FD9"/>
    <w:rsid w:val="00352DD9"/>
    <w:rsid w:val="003767E0"/>
    <w:rsid w:val="00397D3D"/>
    <w:rsid w:val="003E2186"/>
    <w:rsid w:val="0040171B"/>
    <w:rsid w:val="00467005"/>
    <w:rsid w:val="004830A2"/>
    <w:rsid w:val="004A2D2D"/>
    <w:rsid w:val="004A5154"/>
    <w:rsid w:val="004F48EE"/>
    <w:rsid w:val="00523BF9"/>
    <w:rsid w:val="00531928"/>
    <w:rsid w:val="005440A4"/>
    <w:rsid w:val="00546A5A"/>
    <w:rsid w:val="00552114"/>
    <w:rsid w:val="00566580"/>
    <w:rsid w:val="00567AF3"/>
    <w:rsid w:val="00577AA5"/>
    <w:rsid w:val="00583BC8"/>
    <w:rsid w:val="005A50A0"/>
    <w:rsid w:val="00654380"/>
    <w:rsid w:val="00664BE1"/>
    <w:rsid w:val="00681A27"/>
    <w:rsid w:val="006B055C"/>
    <w:rsid w:val="006D0A4F"/>
    <w:rsid w:val="006E32BB"/>
    <w:rsid w:val="006E38E0"/>
    <w:rsid w:val="00710599"/>
    <w:rsid w:val="00723F77"/>
    <w:rsid w:val="00744696"/>
    <w:rsid w:val="00772067"/>
    <w:rsid w:val="0077545D"/>
    <w:rsid w:val="007A0A4B"/>
    <w:rsid w:val="007A0E6C"/>
    <w:rsid w:val="007B1237"/>
    <w:rsid w:val="007B2573"/>
    <w:rsid w:val="007B661D"/>
    <w:rsid w:val="007D19FF"/>
    <w:rsid w:val="007D2085"/>
    <w:rsid w:val="007D4181"/>
    <w:rsid w:val="0083454A"/>
    <w:rsid w:val="00837B38"/>
    <w:rsid w:val="00896554"/>
    <w:rsid w:val="008A7407"/>
    <w:rsid w:val="008F10C2"/>
    <w:rsid w:val="00902D2F"/>
    <w:rsid w:val="00961FDF"/>
    <w:rsid w:val="00983B7D"/>
    <w:rsid w:val="009A37C2"/>
    <w:rsid w:val="009F3AB8"/>
    <w:rsid w:val="00A11606"/>
    <w:rsid w:val="00A444C0"/>
    <w:rsid w:val="00A6401C"/>
    <w:rsid w:val="00A81AB7"/>
    <w:rsid w:val="00AA522C"/>
    <w:rsid w:val="00AE0CBD"/>
    <w:rsid w:val="00AE7F3B"/>
    <w:rsid w:val="00B01557"/>
    <w:rsid w:val="00B21EA2"/>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83AFB"/>
    <w:rsid w:val="00C93DF0"/>
    <w:rsid w:val="00CA497E"/>
    <w:rsid w:val="00CB17C9"/>
    <w:rsid w:val="00CC72FF"/>
    <w:rsid w:val="00CC7C21"/>
    <w:rsid w:val="00CE0886"/>
    <w:rsid w:val="00CF2516"/>
    <w:rsid w:val="00CF6D63"/>
    <w:rsid w:val="00D23B28"/>
    <w:rsid w:val="00D46C8D"/>
    <w:rsid w:val="00DA1359"/>
    <w:rsid w:val="00DB78E8"/>
    <w:rsid w:val="00DD23A4"/>
    <w:rsid w:val="00DD46B5"/>
    <w:rsid w:val="00DE5444"/>
    <w:rsid w:val="00DF072F"/>
    <w:rsid w:val="00E32014"/>
    <w:rsid w:val="00E3727C"/>
    <w:rsid w:val="00E96C4D"/>
    <w:rsid w:val="00EB1190"/>
    <w:rsid w:val="00EB58BA"/>
    <w:rsid w:val="00EE6B93"/>
    <w:rsid w:val="00F04A6E"/>
    <w:rsid w:val="00F04DEF"/>
    <w:rsid w:val="00F31070"/>
    <w:rsid w:val="00F45B26"/>
    <w:rsid w:val="00F53F10"/>
    <w:rsid w:val="00F636F8"/>
    <w:rsid w:val="00F95A50"/>
    <w:rsid w:val="00FA2C8E"/>
    <w:rsid w:val="00FC1860"/>
    <w:rsid w:val="00FC7EA5"/>
    <w:rsid w:val="00FF4C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4</Pages>
  <Words>555</Words>
  <Characters>3054</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119</cp:revision>
  <dcterms:created xsi:type="dcterms:W3CDTF">2021-11-25T09:44:00Z</dcterms:created>
  <dcterms:modified xsi:type="dcterms:W3CDTF">2026-09-16T17:54:00Z</dcterms:modified>
</cp:coreProperties>
</file>