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7E658F97" w:rsidR="00902D2F" w:rsidRPr="00041E45" w:rsidRDefault="00A444C0" w:rsidP="00B41C02">
      <w:pPr>
        <w:jc w:val="both"/>
        <w:rPr>
          <w:rFonts w:ascii="Tahoma" w:hAnsi="Tahoma" w:cs="Tahoma"/>
          <w:sz w:val="32"/>
          <w:szCs w:val="32"/>
          <w:u w:val="single"/>
        </w:rPr>
      </w:pPr>
      <w:r>
        <w:rPr>
          <w:rFonts w:ascii="Tahoma" w:hAnsi="Tahoma" w:cs="Tahoma"/>
          <w:sz w:val="32"/>
          <w:szCs w:val="32"/>
          <w:u w:val="single"/>
        </w:rPr>
        <w:t>Month</w:t>
      </w:r>
    </w:p>
    <w:p w14:paraId="2862B446" w14:textId="37CA9899" w:rsidR="00902D2F" w:rsidRDefault="00E121D5" w:rsidP="00B41C02">
      <w:pPr>
        <w:jc w:val="both"/>
        <w:rPr>
          <w:rFonts w:ascii="Tahoma" w:hAnsi="Tahoma" w:cs="Tahoma"/>
        </w:rPr>
      </w:pPr>
      <w:r>
        <w:rPr>
          <w:noProof/>
        </w:rPr>
        <w:drawing>
          <wp:inline distT="0" distB="0" distL="0" distR="0" wp14:anchorId="54A4C6AE" wp14:editId="234C2ECB">
            <wp:extent cx="5760720" cy="4320540"/>
            <wp:effectExtent l="0" t="0" r="0" b="3810"/>
            <wp:docPr id="12087857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52462A63" w14:textId="372B346E" w:rsidR="004A40B4" w:rsidRDefault="00BC39E0" w:rsidP="00B41C02">
      <w:pPr>
        <w:jc w:val="both"/>
        <w:rPr>
          <w:rFonts w:ascii="Tahoma" w:hAnsi="Tahoma" w:cs="Tahoma"/>
        </w:rPr>
      </w:pPr>
      <w:r>
        <w:rPr>
          <w:rFonts w:ascii="Tahoma" w:hAnsi="Tahoma" w:cs="Tahoma"/>
        </w:rPr>
        <w:t>Le</w:t>
      </w:r>
      <w:r w:rsidR="004A40B4">
        <w:rPr>
          <w:rFonts w:ascii="Tahoma" w:hAnsi="Tahoma" w:cs="Tahoma"/>
        </w:rPr>
        <w:t xml:space="preserve"> contexte de long terme est baissier</w:t>
      </w:r>
      <w:r>
        <w:rPr>
          <w:rFonts w:ascii="Tahoma" w:hAnsi="Tahoma" w:cs="Tahoma"/>
        </w:rPr>
        <w:t xml:space="preserve"> comme </w:t>
      </w:r>
      <w:r w:rsidR="00375A6D">
        <w:rPr>
          <w:rFonts w:ascii="Tahoma" w:hAnsi="Tahoma" w:cs="Tahoma"/>
        </w:rPr>
        <w:t xml:space="preserve">le </w:t>
      </w:r>
      <w:r>
        <w:rPr>
          <w:rFonts w:ascii="Tahoma" w:hAnsi="Tahoma" w:cs="Tahoma"/>
        </w:rPr>
        <w:t>montre</w:t>
      </w:r>
      <w:r w:rsidR="00375A6D">
        <w:rPr>
          <w:rFonts w:ascii="Tahoma" w:hAnsi="Tahoma" w:cs="Tahoma"/>
        </w:rPr>
        <w:t>nt</w:t>
      </w:r>
      <w:r>
        <w:rPr>
          <w:rFonts w:ascii="Tahoma" w:hAnsi="Tahoma" w:cs="Tahoma"/>
        </w:rPr>
        <w:t xml:space="preserve"> </w:t>
      </w:r>
      <w:r w:rsidR="00375A6D">
        <w:rPr>
          <w:rFonts w:ascii="Tahoma" w:hAnsi="Tahoma" w:cs="Tahoma"/>
        </w:rPr>
        <w:t>l</w:t>
      </w:r>
      <w:r>
        <w:rPr>
          <w:rFonts w:ascii="Tahoma" w:hAnsi="Tahoma" w:cs="Tahoma"/>
        </w:rPr>
        <w:t>es prix et une LS qui évoluent sous leur nuage respectif,</w:t>
      </w:r>
      <w:r w:rsidR="00B40663">
        <w:rPr>
          <w:rFonts w:ascii="Tahoma" w:hAnsi="Tahoma" w:cs="Tahoma"/>
        </w:rPr>
        <w:t xml:space="preserve"> et</w:t>
      </w:r>
      <w:r>
        <w:rPr>
          <w:rFonts w:ascii="Tahoma" w:hAnsi="Tahoma" w:cs="Tahoma"/>
        </w:rPr>
        <w:t xml:space="preserve"> comme l’indique aussi le nuage futur décroissant.</w:t>
      </w:r>
      <w:r w:rsidR="009B2DAB">
        <w:rPr>
          <w:rFonts w:ascii="Tahoma" w:hAnsi="Tahoma" w:cs="Tahoma"/>
        </w:rPr>
        <w:t xml:space="preserve"> Un début de retournement passera dans un premier temps par un retour de la TS </w:t>
      </w:r>
      <w:r w:rsidR="00375A6D">
        <w:rPr>
          <w:rFonts w:ascii="Tahoma" w:hAnsi="Tahoma" w:cs="Tahoma"/>
        </w:rPr>
        <w:t>au-dessus</w:t>
      </w:r>
      <w:r w:rsidR="009B2DAB">
        <w:rPr>
          <w:rFonts w:ascii="Tahoma" w:hAnsi="Tahoma" w:cs="Tahoma"/>
        </w:rPr>
        <w:t xml:space="preserve"> de la KS suivi par une LS s’établissant </w:t>
      </w:r>
      <w:r w:rsidR="00375A6D">
        <w:rPr>
          <w:rFonts w:ascii="Tahoma" w:hAnsi="Tahoma" w:cs="Tahoma"/>
        </w:rPr>
        <w:t>au-dessus</w:t>
      </w:r>
      <w:r w:rsidR="009B2DAB">
        <w:rPr>
          <w:rFonts w:ascii="Tahoma" w:hAnsi="Tahoma" w:cs="Tahoma"/>
        </w:rPr>
        <w:t xml:space="preserve"> de la courbe des cours. </w:t>
      </w:r>
    </w:p>
    <w:p w14:paraId="38C59E28" w14:textId="01381ADA" w:rsidR="009B2DAB" w:rsidRDefault="009B2DAB" w:rsidP="00B41C02">
      <w:pPr>
        <w:jc w:val="both"/>
        <w:rPr>
          <w:rFonts w:ascii="Tahoma" w:hAnsi="Tahoma" w:cs="Tahoma"/>
        </w:rPr>
      </w:pPr>
      <w:r>
        <w:rPr>
          <w:rFonts w:ascii="Tahoma" w:hAnsi="Tahoma" w:cs="Tahoma"/>
        </w:rPr>
        <w:t xml:space="preserve">Au cours du mois de septembre, le contrat Bund est venu chercher son support de long terme de 119.40. Ce </w:t>
      </w:r>
      <w:r w:rsidR="001A18BB">
        <w:rPr>
          <w:rFonts w:ascii="Tahoma" w:hAnsi="Tahoma" w:cs="Tahoma"/>
        </w:rPr>
        <w:t>plat de KS passée</w:t>
      </w:r>
      <w:r>
        <w:rPr>
          <w:rFonts w:ascii="Tahoma" w:hAnsi="Tahoma" w:cs="Tahoma"/>
        </w:rPr>
        <w:t xml:space="preserve"> était une cible potentielle depuis la cassure de 124.80 en juillet dernier.</w:t>
      </w:r>
    </w:p>
    <w:p w14:paraId="59370C83" w14:textId="22E19794" w:rsidR="009B2DAB" w:rsidRDefault="009B2DAB" w:rsidP="00B41C02">
      <w:pPr>
        <w:jc w:val="both"/>
        <w:rPr>
          <w:rFonts w:ascii="Tahoma" w:hAnsi="Tahoma" w:cs="Tahoma"/>
        </w:rPr>
      </w:pPr>
      <w:r>
        <w:rPr>
          <w:rFonts w:ascii="Tahoma" w:hAnsi="Tahoma" w:cs="Tahoma"/>
        </w:rPr>
        <w:t xml:space="preserve">Rien pour le moment ne permet de remettre en question la dynamique baissière du mouvement. La TS qui traduit </w:t>
      </w:r>
      <w:r w:rsidR="00EF503A">
        <w:rPr>
          <w:rFonts w:ascii="Tahoma" w:hAnsi="Tahoma" w:cs="Tahoma"/>
        </w:rPr>
        <w:t>sa force</w:t>
      </w:r>
      <w:r>
        <w:rPr>
          <w:rFonts w:ascii="Tahoma" w:hAnsi="Tahoma" w:cs="Tahoma"/>
        </w:rPr>
        <w:t xml:space="preserve"> est orientée à la baisse. </w:t>
      </w:r>
      <w:r w:rsidR="00375A6D">
        <w:rPr>
          <w:rFonts w:ascii="Tahoma" w:hAnsi="Tahoma" w:cs="Tahoma"/>
        </w:rPr>
        <w:t>Certes</w:t>
      </w:r>
      <w:r>
        <w:rPr>
          <w:rFonts w:ascii="Tahoma" w:hAnsi="Tahoma" w:cs="Tahoma"/>
        </w:rPr>
        <w:t xml:space="preserve">, elle est un peu trop éloignée des prix ce qui signifie que le contrat est en survente, mais </w:t>
      </w:r>
      <w:r w:rsidR="00957932">
        <w:rPr>
          <w:rFonts w:ascii="Tahoma" w:hAnsi="Tahoma" w:cs="Tahoma"/>
        </w:rPr>
        <w:t xml:space="preserve">cette situation de surtension ne signifie </w:t>
      </w:r>
      <w:r w:rsidR="00B40663">
        <w:rPr>
          <w:rFonts w:ascii="Tahoma" w:hAnsi="Tahoma" w:cs="Tahoma"/>
        </w:rPr>
        <w:t xml:space="preserve">pas </w:t>
      </w:r>
      <w:r w:rsidR="00957932">
        <w:rPr>
          <w:rFonts w:ascii="Tahoma" w:hAnsi="Tahoma" w:cs="Tahoma"/>
        </w:rPr>
        <w:t>obligatoirement un rebond du marché.</w:t>
      </w:r>
    </w:p>
    <w:p w14:paraId="44EF1017" w14:textId="637C92D7" w:rsidR="00957932" w:rsidRDefault="00957932" w:rsidP="00B41C02">
      <w:pPr>
        <w:jc w:val="both"/>
        <w:rPr>
          <w:rFonts w:ascii="Tahoma" w:hAnsi="Tahoma" w:cs="Tahoma"/>
        </w:rPr>
      </w:pPr>
      <w:r>
        <w:rPr>
          <w:rFonts w:ascii="Tahoma" w:hAnsi="Tahoma" w:cs="Tahoma"/>
        </w:rPr>
        <w:t xml:space="preserve">Après un plus bas au cours du mois de 119.19, les prix ont terminé </w:t>
      </w:r>
      <w:r w:rsidR="00B40663">
        <w:rPr>
          <w:rFonts w:ascii="Tahoma" w:hAnsi="Tahoma" w:cs="Tahoma"/>
        </w:rPr>
        <w:t>la période</w:t>
      </w:r>
      <w:r>
        <w:rPr>
          <w:rFonts w:ascii="Tahoma" w:hAnsi="Tahoma" w:cs="Tahoma"/>
        </w:rPr>
        <w:t xml:space="preserve"> sur 119.90. Comme ce point est </w:t>
      </w:r>
      <w:r w:rsidR="00375A6D">
        <w:rPr>
          <w:rFonts w:ascii="Tahoma" w:hAnsi="Tahoma" w:cs="Tahoma"/>
        </w:rPr>
        <w:t>déterminé</w:t>
      </w:r>
      <w:r>
        <w:rPr>
          <w:rFonts w:ascii="Tahoma" w:hAnsi="Tahoma" w:cs="Tahoma"/>
        </w:rPr>
        <w:t xml:space="preserve"> sur un horizon de temps mensuel, cela signifie que la </w:t>
      </w:r>
      <w:r w:rsidR="00375A6D">
        <w:rPr>
          <w:rFonts w:ascii="Tahoma" w:hAnsi="Tahoma" w:cs="Tahoma"/>
        </w:rPr>
        <w:t>clôture</w:t>
      </w:r>
      <w:r>
        <w:rPr>
          <w:rFonts w:ascii="Tahoma" w:hAnsi="Tahoma" w:cs="Tahoma"/>
        </w:rPr>
        <w:t xml:space="preserve"> n’invalide pas le support. Ce dernier </w:t>
      </w:r>
      <w:r w:rsidR="00EB51C1">
        <w:rPr>
          <w:rFonts w:ascii="Tahoma" w:hAnsi="Tahoma" w:cs="Tahoma"/>
        </w:rPr>
        <w:t>pourra être utile cours des prochaines semaines.</w:t>
      </w:r>
    </w:p>
    <w:p w14:paraId="7541A772" w14:textId="46D0903B" w:rsidR="00F64453" w:rsidRDefault="00F64453" w:rsidP="00B41C02">
      <w:pPr>
        <w:jc w:val="both"/>
        <w:rPr>
          <w:rFonts w:ascii="Tahoma" w:hAnsi="Tahoma" w:cs="Tahoma"/>
        </w:rPr>
      </w:pPr>
      <w:r>
        <w:rPr>
          <w:rFonts w:ascii="Tahoma" w:hAnsi="Tahoma" w:cs="Tahoma"/>
        </w:rPr>
        <w:t xml:space="preserve">Un maintien des cours </w:t>
      </w:r>
      <w:r w:rsidR="00375A6D">
        <w:rPr>
          <w:rFonts w:ascii="Tahoma" w:hAnsi="Tahoma" w:cs="Tahoma"/>
        </w:rPr>
        <w:t>au-dessus</w:t>
      </w:r>
      <w:r>
        <w:rPr>
          <w:rFonts w:ascii="Tahoma" w:hAnsi="Tahoma" w:cs="Tahoma"/>
        </w:rPr>
        <w:t xml:space="preserve"> de 119.40 inciter</w:t>
      </w:r>
      <w:r w:rsidR="003A7E57">
        <w:rPr>
          <w:rFonts w:ascii="Tahoma" w:hAnsi="Tahoma" w:cs="Tahoma"/>
        </w:rPr>
        <w:t>a</w:t>
      </w:r>
      <w:r>
        <w:rPr>
          <w:rFonts w:ascii="Tahoma" w:hAnsi="Tahoma" w:cs="Tahoma"/>
        </w:rPr>
        <w:t xml:space="preserve"> les vendeurs à revoir leurs positions. L’</w:t>
      </w:r>
      <w:r w:rsidR="00375A6D">
        <w:rPr>
          <w:rFonts w:ascii="Tahoma" w:hAnsi="Tahoma" w:cs="Tahoma"/>
        </w:rPr>
        <w:t>arrêt</w:t>
      </w:r>
      <w:r>
        <w:rPr>
          <w:rFonts w:ascii="Tahoma" w:hAnsi="Tahoma" w:cs="Tahoma"/>
        </w:rPr>
        <w:t xml:space="preserve"> de la baisse et un rebond </w:t>
      </w:r>
      <w:r w:rsidR="003A7E57">
        <w:rPr>
          <w:rFonts w:ascii="Tahoma" w:hAnsi="Tahoma" w:cs="Tahoma"/>
        </w:rPr>
        <w:t xml:space="preserve">des prix </w:t>
      </w:r>
      <w:r w:rsidR="00375A6D">
        <w:rPr>
          <w:rFonts w:ascii="Tahoma" w:hAnsi="Tahoma" w:cs="Tahoma"/>
        </w:rPr>
        <w:t>au-dessus</w:t>
      </w:r>
      <w:r>
        <w:rPr>
          <w:rFonts w:ascii="Tahoma" w:hAnsi="Tahoma" w:cs="Tahoma"/>
        </w:rPr>
        <w:t xml:space="preserve"> de </w:t>
      </w:r>
      <w:r w:rsidR="004D46BC">
        <w:rPr>
          <w:rFonts w:ascii="Tahoma" w:hAnsi="Tahoma" w:cs="Tahoma"/>
        </w:rPr>
        <w:t xml:space="preserve">121.12 </w:t>
      </w:r>
      <w:r w:rsidR="00375A6D">
        <w:rPr>
          <w:rFonts w:ascii="Tahoma" w:hAnsi="Tahoma" w:cs="Tahoma"/>
        </w:rPr>
        <w:t>génèrer</w:t>
      </w:r>
      <w:r w:rsidR="003A7E57">
        <w:rPr>
          <w:rFonts w:ascii="Tahoma" w:hAnsi="Tahoma" w:cs="Tahoma"/>
        </w:rPr>
        <w:t>ont</w:t>
      </w:r>
      <w:r>
        <w:rPr>
          <w:rFonts w:ascii="Tahoma" w:hAnsi="Tahoma" w:cs="Tahoma"/>
        </w:rPr>
        <w:t xml:space="preserve"> </w:t>
      </w:r>
      <w:r w:rsidR="004D46BC">
        <w:rPr>
          <w:rFonts w:ascii="Tahoma" w:hAnsi="Tahoma" w:cs="Tahoma"/>
        </w:rPr>
        <w:t>de l’</w:t>
      </w:r>
      <w:r>
        <w:rPr>
          <w:rFonts w:ascii="Tahoma" w:hAnsi="Tahoma" w:cs="Tahoma"/>
        </w:rPr>
        <w:t xml:space="preserve">inquiétude </w:t>
      </w:r>
      <w:r w:rsidR="004D46BC">
        <w:rPr>
          <w:rFonts w:ascii="Tahoma" w:hAnsi="Tahoma" w:cs="Tahoma"/>
        </w:rPr>
        <w:t>chez les baissiers. Cette dernière sera à son comble en dépassement de 122.34</w:t>
      </w:r>
      <w:r w:rsidR="00A212E7">
        <w:rPr>
          <w:rFonts w:ascii="Tahoma" w:hAnsi="Tahoma" w:cs="Tahoma"/>
        </w:rPr>
        <w:t xml:space="preserve">. En effet le dernier </w:t>
      </w:r>
      <w:r w:rsidR="00A212E7">
        <w:rPr>
          <w:rFonts w:ascii="Tahoma" w:hAnsi="Tahoma" w:cs="Tahoma"/>
        </w:rPr>
        <w:lastRenderedPageBreak/>
        <w:t xml:space="preserve">chandelier noir (ouverture 122.34, </w:t>
      </w:r>
      <w:r w:rsidR="00375A6D">
        <w:rPr>
          <w:rFonts w:ascii="Tahoma" w:hAnsi="Tahoma" w:cs="Tahoma"/>
        </w:rPr>
        <w:t>clôture</w:t>
      </w:r>
      <w:r w:rsidR="00A212E7">
        <w:rPr>
          <w:rFonts w:ascii="Tahoma" w:hAnsi="Tahoma" w:cs="Tahoma"/>
        </w:rPr>
        <w:t xml:space="preserve"> 119.90 ) </w:t>
      </w:r>
      <w:r w:rsidR="00375A6D">
        <w:rPr>
          <w:rFonts w:ascii="Tahoma" w:hAnsi="Tahoma" w:cs="Tahoma"/>
        </w:rPr>
        <w:t>matérialise</w:t>
      </w:r>
      <w:r w:rsidR="00A212E7">
        <w:rPr>
          <w:rFonts w:ascii="Tahoma" w:hAnsi="Tahoma" w:cs="Tahoma"/>
        </w:rPr>
        <w:t xml:space="preserve"> une zone de domination des vendeurs. Dans un contexte largement </w:t>
      </w:r>
      <w:r w:rsidR="00B40663">
        <w:rPr>
          <w:rFonts w:ascii="Tahoma" w:hAnsi="Tahoma" w:cs="Tahoma"/>
        </w:rPr>
        <w:t>baissie</w:t>
      </w:r>
      <w:r w:rsidR="00A212E7">
        <w:rPr>
          <w:rFonts w:ascii="Tahoma" w:hAnsi="Tahoma" w:cs="Tahoma"/>
        </w:rPr>
        <w:t xml:space="preserve">r, chaque rebond de prix doit </w:t>
      </w:r>
      <w:r w:rsidR="00505854">
        <w:rPr>
          <w:rFonts w:ascii="Tahoma" w:hAnsi="Tahoma" w:cs="Tahoma"/>
        </w:rPr>
        <w:t xml:space="preserve">inciter les vendeurs à tirer profit de cette hausse de </w:t>
      </w:r>
      <w:r w:rsidR="009A3675">
        <w:rPr>
          <w:rFonts w:ascii="Tahoma" w:hAnsi="Tahoma" w:cs="Tahoma"/>
        </w:rPr>
        <w:t>cours</w:t>
      </w:r>
      <w:r w:rsidR="00505854">
        <w:rPr>
          <w:rFonts w:ascii="Tahoma" w:hAnsi="Tahoma" w:cs="Tahoma"/>
        </w:rPr>
        <w:t xml:space="preserve"> pour initier de nouvelles positions short</w:t>
      </w:r>
      <w:r w:rsidR="00550AAD">
        <w:rPr>
          <w:rFonts w:ascii="Tahoma" w:hAnsi="Tahoma" w:cs="Tahoma"/>
        </w:rPr>
        <w:t>s</w:t>
      </w:r>
      <w:r w:rsidR="00505854">
        <w:rPr>
          <w:rFonts w:ascii="Tahoma" w:hAnsi="Tahoma" w:cs="Tahoma"/>
        </w:rPr>
        <w:t>.</w:t>
      </w:r>
      <w:r w:rsidR="009A3675">
        <w:rPr>
          <w:rFonts w:ascii="Tahoma" w:hAnsi="Tahoma" w:cs="Tahoma"/>
        </w:rPr>
        <w:t xml:space="preserve"> Pour cette raison, la fin de cette dernière vague de baisse doit passer par un rétablissement du contrat </w:t>
      </w:r>
      <w:r w:rsidR="00375A6D">
        <w:rPr>
          <w:rFonts w:ascii="Tahoma" w:hAnsi="Tahoma" w:cs="Tahoma"/>
        </w:rPr>
        <w:t>au-dessus</w:t>
      </w:r>
      <w:r w:rsidR="009A3675">
        <w:rPr>
          <w:rFonts w:ascii="Tahoma" w:hAnsi="Tahoma" w:cs="Tahoma"/>
        </w:rPr>
        <w:t xml:space="preserve"> de 122.34.</w:t>
      </w:r>
    </w:p>
    <w:p w14:paraId="3112B69A" w14:textId="712FB197" w:rsidR="009A3675" w:rsidRDefault="00B26CC5" w:rsidP="00B41C02">
      <w:pPr>
        <w:jc w:val="both"/>
        <w:rPr>
          <w:rFonts w:ascii="Tahoma" w:hAnsi="Tahoma" w:cs="Tahoma"/>
        </w:rPr>
      </w:pPr>
      <w:r>
        <w:rPr>
          <w:rFonts w:ascii="Tahoma" w:hAnsi="Tahoma" w:cs="Tahoma"/>
        </w:rPr>
        <w:t>Comme rien n’est jamais acquit en analyse technique (cette dernière apporte des probabilités pas des certitudes)</w:t>
      </w:r>
      <w:r w:rsidR="008A5B78">
        <w:rPr>
          <w:rFonts w:ascii="Tahoma" w:hAnsi="Tahoma" w:cs="Tahoma"/>
        </w:rPr>
        <w:t>, j’ai recherché le support suivant en cassure de 119.40.</w:t>
      </w:r>
    </w:p>
    <w:p w14:paraId="601D3433" w14:textId="35AE5905" w:rsidR="008A5B78" w:rsidRPr="00B5021B" w:rsidRDefault="008A5B78" w:rsidP="00B41C02">
      <w:pPr>
        <w:jc w:val="both"/>
        <w:rPr>
          <w:rFonts w:ascii="Tahoma" w:hAnsi="Tahoma" w:cs="Tahoma"/>
          <w:color w:val="EE0000"/>
        </w:rPr>
      </w:pPr>
      <w:r>
        <w:rPr>
          <w:rFonts w:ascii="Tahoma" w:hAnsi="Tahoma" w:cs="Tahoma"/>
        </w:rPr>
        <w:t xml:space="preserve">Je n’ai rien trouvé de pertinent en données mensuelles. Je me suis tourné alors sur un graphique trimestriel (voir ci-dessous) où l’on peut </w:t>
      </w:r>
      <w:r w:rsidR="00B40663">
        <w:rPr>
          <w:rFonts w:ascii="Tahoma" w:hAnsi="Tahoma" w:cs="Tahoma"/>
        </w:rPr>
        <w:t>voir</w:t>
      </w:r>
      <w:r>
        <w:rPr>
          <w:rFonts w:ascii="Tahoma" w:hAnsi="Tahoma" w:cs="Tahoma"/>
        </w:rPr>
        <w:t xml:space="preserve"> </w:t>
      </w:r>
      <w:r w:rsidR="00550AAD">
        <w:rPr>
          <w:rFonts w:ascii="Tahoma" w:hAnsi="Tahoma" w:cs="Tahoma"/>
        </w:rPr>
        <w:t>que l’</w:t>
      </w:r>
      <w:r>
        <w:rPr>
          <w:rFonts w:ascii="Tahoma" w:hAnsi="Tahoma" w:cs="Tahoma"/>
        </w:rPr>
        <w:t xml:space="preserve">environnement </w:t>
      </w:r>
      <w:r w:rsidR="00550AAD">
        <w:rPr>
          <w:rFonts w:ascii="Tahoma" w:hAnsi="Tahoma" w:cs="Tahoma"/>
        </w:rPr>
        <w:t xml:space="preserve">est </w:t>
      </w:r>
      <w:r>
        <w:rPr>
          <w:rFonts w:ascii="Tahoma" w:hAnsi="Tahoma" w:cs="Tahoma"/>
        </w:rPr>
        <w:t>toujours haussier</w:t>
      </w:r>
      <w:r w:rsidR="00550AAD">
        <w:rPr>
          <w:rFonts w:ascii="Tahoma" w:hAnsi="Tahoma" w:cs="Tahoma"/>
        </w:rPr>
        <w:t>.</w:t>
      </w:r>
      <w:r>
        <w:rPr>
          <w:rFonts w:ascii="Tahoma" w:hAnsi="Tahoma" w:cs="Tahoma"/>
        </w:rPr>
        <w:t xml:space="preserve"> </w:t>
      </w:r>
      <w:r w:rsidR="00550AAD">
        <w:rPr>
          <w:rFonts w:ascii="Tahoma" w:hAnsi="Tahoma" w:cs="Tahoma"/>
        </w:rPr>
        <w:t>L</w:t>
      </w:r>
      <w:r>
        <w:rPr>
          <w:rFonts w:ascii="Tahoma" w:hAnsi="Tahoma" w:cs="Tahoma"/>
        </w:rPr>
        <w:t>e Bund se dirige vers un support de très long terme matérialisé par un plat de SSB sur 114.90.</w:t>
      </w:r>
      <w:r w:rsidR="000165A5">
        <w:rPr>
          <w:rFonts w:ascii="Tahoma" w:hAnsi="Tahoma" w:cs="Tahoma"/>
        </w:rPr>
        <w:t xml:space="preserve"> En équivalent taux cela donne pour le 10 ans Allemand un niveau approximatif  de 4.</w:t>
      </w:r>
      <w:r w:rsidR="000C2742">
        <w:rPr>
          <w:rFonts w:ascii="Tahoma" w:hAnsi="Tahoma" w:cs="Tahoma"/>
        </w:rPr>
        <w:t>15</w:t>
      </w:r>
      <w:r w:rsidR="000165A5">
        <w:rPr>
          <w:rFonts w:ascii="Tahoma" w:hAnsi="Tahoma" w:cs="Tahoma"/>
        </w:rPr>
        <w:t xml:space="preserve">% </w:t>
      </w:r>
      <w:r w:rsidR="000165A5" w:rsidRPr="000C2742">
        <w:rPr>
          <w:rFonts w:ascii="Tahoma" w:hAnsi="Tahoma" w:cs="Tahoma"/>
        </w:rPr>
        <w:t>contre 3.</w:t>
      </w:r>
      <w:r w:rsidR="000C2742" w:rsidRPr="000C2742">
        <w:rPr>
          <w:rFonts w:ascii="Tahoma" w:hAnsi="Tahoma" w:cs="Tahoma"/>
        </w:rPr>
        <w:t>45</w:t>
      </w:r>
      <w:r w:rsidR="000165A5" w:rsidRPr="000C2742">
        <w:rPr>
          <w:rFonts w:ascii="Tahoma" w:hAnsi="Tahoma" w:cs="Tahoma"/>
        </w:rPr>
        <w:t xml:space="preserve">% </w:t>
      </w:r>
      <w:r w:rsidR="00B5021B" w:rsidRPr="000C2742">
        <w:rPr>
          <w:rFonts w:ascii="Tahoma" w:hAnsi="Tahoma" w:cs="Tahoma"/>
        </w:rPr>
        <w:t>aujourd’hui.</w:t>
      </w:r>
    </w:p>
    <w:p w14:paraId="54AE70FA" w14:textId="77777777" w:rsidR="00E121D5" w:rsidRDefault="00E121D5" w:rsidP="00B41C02">
      <w:pPr>
        <w:jc w:val="both"/>
        <w:rPr>
          <w:rFonts w:ascii="Tahoma" w:hAnsi="Tahoma" w:cs="Tahoma"/>
        </w:rPr>
      </w:pPr>
    </w:p>
    <w:p w14:paraId="4DA1FAA6" w14:textId="629C5791" w:rsidR="00E121D5" w:rsidRDefault="00E121D5" w:rsidP="00B41C02">
      <w:pPr>
        <w:jc w:val="both"/>
        <w:rPr>
          <w:rFonts w:ascii="Tahoma" w:hAnsi="Tahoma" w:cs="Tahoma"/>
        </w:rPr>
      </w:pPr>
      <w:r>
        <w:rPr>
          <w:noProof/>
        </w:rPr>
        <w:drawing>
          <wp:inline distT="0" distB="0" distL="0" distR="0" wp14:anchorId="2D1966C7" wp14:editId="2DF086D2">
            <wp:extent cx="5760720" cy="4320540"/>
            <wp:effectExtent l="0" t="0" r="0" b="3810"/>
            <wp:docPr id="159433535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374D1F17" w14:textId="24AE7426" w:rsidR="00583BC8" w:rsidRDefault="00583BC8" w:rsidP="00B41C02">
      <w:pPr>
        <w:jc w:val="both"/>
        <w:rPr>
          <w:rFonts w:ascii="Tahoma" w:hAnsi="Tahoma" w:cs="Tahoma"/>
        </w:rPr>
      </w:pPr>
    </w:p>
    <w:p w14:paraId="1675B8DF" w14:textId="199B2119" w:rsidR="00583BC8" w:rsidRDefault="00583BC8" w:rsidP="00B41C02">
      <w:pPr>
        <w:jc w:val="both"/>
        <w:rPr>
          <w:rFonts w:ascii="Tahoma" w:hAnsi="Tahoma" w:cs="Tahoma"/>
        </w:rPr>
      </w:pPr>
    </w:p>
    <w:p w14:paraId="2EF85E4F" w14:textId="77777777" w:rsidR="00C93C92" w:rsidRDefault="00C93C92" w:rsidP="00B41C02">
      <w:pPr>
        <w:jc w:val="both"/>
        <w:rPr>
          <w:rFonts w:ascii="Tahoma" w:hAnsi="Tahoma" w:cs="Tahoma"/>
        </w:rPr>
      </w:pPr>
    </w:p>
    <w:p w14:paraId="710BA38C" w14:textId="73477E3E" w:rsidR="00163C46" w:rsidRDefault="00163C46" w:rsidP="00263ED0">
      <w:pPr>
        <w:jc w:val="both"/>
        <w:rPr>
          <w:rFonts w:ascii="Tahoma" w:hAnsi="Tahoma" w:cs="Tahoma"/>
        </w:rPr>
      </w:pPr>
    </w:p>
    <w:p w14:paraId="7655C33D" w14:textId="77777777" w:rsidR="001A7E01" w:rsidRDefault="001A7E01" w:rsidP="00041E45">
      <w:pPr>
        <w:jc w:val="both"/>
        <w:rPr>
          <w:rFonts w:ascii="Tahoma" w:hAnsi="Tahoma" w:cs="Tahoma"/>
        </w:rPr>
      </w:pPr>
    </w:p>
    <w:p w14:paraId="72E4CF4A" w14:textId="5C687642" w:rsidR="001A7E01" w:rsidRPr="00C93C92" w:rsidRDefault="001A7E01" w:rsidP="00041E45">
      <w:pPr>
        <w:jc w:val="both"/>
        <w:rPr>
          <w:rFonts w:ascii="Tahoma" w:hAnsi="Tahoma" w:cs="Tahoma"/>
          <w:sz w:val="32"/>
          <w:szCs w:val="32"/>
          <w:u w:val="single"/>
        </w:rPr>
      </w:pPr>
      <w:r w:rsidRPr="00041E45">
        <w:rPr>
          <w:rFonts w:ascii="Tahoma" w:hAnsi="Tahoma" w:cs="Tahoma"/>
          <w:sz w:val="32"/>
          <w:szCs w:val="32"/>
          <w:u w:val="single"/>
        </w:rPr>
        <w:lastRenderedPageBreak/>
        <w:t>Week</w:t>
      </w:r>
    </w:p>
    <w:p w14:paraId="10BB9766" w14:textId="5BC7F467" w:rsidR="00723F77" w:rsidRDefault="001A7E01" w:rsidP="00041E45">
      <w:pPr>
        <w:jc w:val="both"/>
        <w:rPr>
          <w:rFonts w:ascii="Tahoma" w:hAnsi="Tahoma" w:cs="Tahoma"/>
        </w:rPr>
      </w:pPr>
      <w:r>
        <w:rPr>
          <w:noProof/>
        </w:rPr>
        <w:drawing>
          <wp:inline distT="0" distB="0" distL="0" distR="0" wp14:anchorId="20F7ECA9" wp14:editId="6B009A6F">
            <wp:extent cx="5760720" cy="4320540"/>
            <wp:effectExtent l="0" t="0" r="0" b="3810"/>
            <wp:docPr id="22817054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02A6963" w14:textId="7AFC2C15" w:rsidR="001A7E01" w:rsidRDefault="001A7E01" w:rsidP="001A7E01">
      <w:pPr>
        <w:jc w:val="both"/>
        <w:rPr>
          <w:rFonts w:ascii="Tahoma" w:hAnsi="Tahoma" w:cs="Tahoma"/>
        </w:rPr>
      </w:pPr>
      <w:r>
        <w:rPr>
          <w:rFonts w:ascii="Tahoma" w:hAnsi="Tahoma" w:cs="Tahoma"/>
        </w:rPr>
        <w:t>La</w:t>
      </w:r>
      <w:r w:rsidR="00A45649">
        <w:rPr>
          <w:rFonts w:ascii="Tahoma" w:hAnsi="Tahoma" w:cs="Tahoma"/>
        </w:rPr>
        <w:t xml:space="preserve"> dernière bougie forme avec la précédente un avalement haussier. Cette figure se classe dans les structures de retournement. Apparue sur un support majeur, </w:t>
      </w:r>
      <w:r w:rsidR="00A97BE0">
        <w:rPr>
          <w:rFonts w:ascii="Tahoma" w:hAnsi="Tahoma" w:cs="Tahoma"/>
        </w:rPr>
        <w:t>cela lui donne pl</w:t>
      </w:r>
      <w:r w:rsidR="00802E4A">
        <w:rPr>
          <w:rFonts w:ascii="Tahoma" w:hAnsi="Tahoma" w:cs="Tahoma"/>
        </w:rPr>
        <w:t>us</w:t>
      </w:r>
      <w:r w:rsidR="00A97BE0">
        <w:rPr>
          <w:rFonts w:ascii="Tahoma" w:hAnsi="Tahoma" w:cs="Tahoma"/>
        </w:rPr>
        <w:t xml:space="preserve"> d’importance</w:t>
      </w:r>
      <w:r w:rsidR="00CB4A5C">
        <w:rPr>
          <w:rFonts w:ascii="Tahoma" w:hAnsi="Tahoma" w:cs="Tahoma"/>
        </w:rPr>
        <w:t xml:space="preserve"> et de force</w:t>
      </w:r>
      <w:r w:rsidR="00A97BE0">
        <w:rPr>
          <w:rFonts w:ascii="Tahoma" w:hAnsi="Tahoma" w:cs="Tahoma"/>
        </w:rPr>
        <w:t>. Elle permet d’envisager une poursuite de la hausse des prix.</w:t>
      </w:r>
    </w:p>
    <w:p w14:paraId="0A6DF9AD" w14:textId="1815C6AD" w:rsidR="001A7E01" w:rsidRDefault="007659D8" w:rsidP="00041E45">
      <w:pPr>
        <w:jc w:val="both"/>
        <w:rPr>
          <w:rFonts w:ascii="Tahoma" w:hAnsi="Tahoma" w:cs="Tahoma"/>
        </w:rPr>
      </w:pPr>
      <w:r>
        <w:rPr>
          <w:rFonts w:ascii="Tahoma" w:hAnsi="Tahoma" w:cs="Tahoma"/>
        </w:rPr>
        <w:t xml:space="preserve">Le haut de la bougie est revenu sur la TS, </w:t>
      </w:r>
      <w:r w:rsidR="00375A6D">
        <w:rPr>
          <w:rFonts w:ascii="Tahoma" w:hAnsi="Tahoma" w:cs="Tahoma"/>
        </w:rPr>
        <w:t>réduisant</w:t>
      </w:r>
      <w:r>
        <w:rPr>
          <w:rFonts w:ascii="Tahoma" w:hAnsi="Tahoma" w:cs="Tahoma"/>
        </w:rPr>
        <w:t xml:space="preserve"> le contexte survendu de ces dernières semaines.</w:t>
      </w:r>
    </w:p>
    <w:p w14:paraId="05164A50" w14:textId="6DB42EF4" w:rsidR="007659D8" w:rsidRDefault="007659D8" w:rsidP="00041E45">
      <w:pPr>
        <w:jc w:val="both"/>
        <w:rPr>
          <w:rFonts w:ascii="Tahoma" w:hAnsi="Tahoma" w:cs="Tahoma"/>
        </w:rPr>
      </w:pPr>
      <w:r>
        <w:rPr>
          <w:rFonts w:ascii="Tahoma" w:hAnsi="Tahoma" w:cs="Tahoma"/>
        </w:rPr>
        <w:t xml:space="preserve">Maintenant si j’analyse l’équilibre du rapport de force à l’aide de l’amplitude de la dernière chandelle, un dépassement du dernier point haut de 121.97 sera envisageable tant que le contrat se maintiendra </w:t>
      </w:r>
      <w:r w:rsidR="00375A6D">
        <w:rPr>
          <w:rFonts w:ascii="Tahoma" w:hAnsi="Tahoma" w:cs="Tahoma"/>
        </w:rPr>
        <w:t>au-dessus</w:t>
      </w:r>
      <w:r>
        <w:rPr>
          <w:rFonts w:ascii="Tahoma" w:hAnsi="Tahoma" w:cs="Tahoma"/>
        </w:rPr>
        <w:t xml:space="preserve"> de 120.30.</w:t>
      </w:r>
    </w:p>
    <w:p w14:paraId="259D490A" w14:textId="77777777" w:rsidR="001A7E01" w:rsidRDefault="001A7E01" w:rsidP="00041E45">
      <w:pPr>
        <w:jc w:val="both"/>
        <w:rPr>
          <w:rFonts w:ascii="Tahoma" w:hAnsi="Tahoma" w:cs="Tahoma"/>
        </w:rPr>
      </w:pPr>
    </w:p>
    <w:p w14:paraId="7B009C10" w14:textId="77777777" w:rsidR="00C93C92" w:rsidRDefault="00C93C92" w:rsidP="00041E45">
      <w:pPr>
        <w:jc w:val="both"/>
        <w:rPr>
          <w:rFonts w:ascii="Tahoma" w:hAnsi="Tahoma" w:cs="Tahoma"/>
        </w:rPr>
      </w:pPr>
    </w:p>
    <w:p w14:paraId="2427ECED" w14:textId="77777777" w:rsidR="00C93C92" w:rsidRDefault="00C93C92" w:rsidP="00041E45">
      <w:pPr>
        <w:jc w:val="both"/>
        <w:rPr>
          <w:rFonts w:ascii="Tahoma" w:hAnsi="Tahoma" w:cs="Tahoma"/>
        </w:rPr>
      </w:pPr>
    </w:p>
    <w:p w14:paraId="16172C8D" w14:textId="77777777" w:rsidR="00C93C92" w:rsidRDefault="00C93C92" w:rsidP="00041E45">
      <w:pPr>
        <w:jc w:val="both"/>
        <w:rPr>
          <w:rFonts w:ascii="Tahoma" w:hAnsi="Tahoma" w:cs="Tahoma"/>
        </w:rPr>
      </w:pPr>
    </w:p>
    <w:p w14:paraId="42412417" w14:textId="77777777" w:rsidR="00C93C92" w:rsidRDefault="00C93C92" w:rsidP="00041E45">
      <w:pPr>
        <w:jc w:val="both"/>
        <w:rPr>
          <w:rFonts w:ascii="Tahoma" w:hAnsi="Tahoma" w:cs="Tahoma"/>
        </w:rPr>
      </w:pPr>
    </w:p>
    <w:p w14:paraId="52B0DEF7" w14:textId="77777777" w:rsidR="00C93C92" w:rsidRDefault="00C93C92" w:rsidP="00041E45">
      <w:pPr>
        <w:jc w:val="both"/>
        <w:rPr>
          <w:rFonts w:ascii="Tahoma" w:hAnsi="Tahoma" w:cs="Tahoma"/>
        </w:rPr>
      </w:pPr>
    </w:p>
    <w:p w14:paraId="090584DB" w14:textId="77777777" w:rsidR="00C93C92" w:rsidRDefault="00C93C92" w:rsidP="00041E45">
      <w:pPr>
        <w:jc w:val="both"/>
        <w:rPr>
          <w:rFonts w:ascii="Tahoma" w:hAnsi="Tahoma" w:cs="Tahoma"/>
        </w:rPr>
      </w:pPr>
    </w:p>
    <w:p w14:paraId="6243273D" w14:textId="77777777" w:rsidR="00C93C92" w:rsidRDefault="00C93C92" w:rsidP="00041E45">
      <w:pPr>
        <w:jc w:val="both"/>
        <w:rPr>
          <w:rFonts w:ascii="Tahoma" w:hAnsi="Tahoma" w:cs="Tahoma"/>
        </w:rPr>
      </w:pPr>
    </w:p>
    <w:p w14:paraId="526B79E6" w14:textId="2E8DA9FA" w:rsidR="00EB3D8F" w:rsidRPr="00C93C92" w:rsidRDefault="00124A3A" w:rsidP="00041E45">
      <w:pPr>
        <w:jc w:val="both"/>
        <w:rPr>
          <w:rFonts w:ascii="Tahoma" w:hAnsi="Tahoma" w:cs="Tahoma"/>
          <w:sz w:val="32"/>
          <w:szCs w:val="32"/>
          <w:u w:val="single"/>
        </w:rPr>
      </w:pPr>
      <w:r w:rsidRPr="00041E45">
        <w:rPr>
          <w:rFonts w:ascii="Tahoma" w:hAnsi="Tahoma" w:cs="Tahoma"/>
          <w:sz w:val="32"/>
          <w:szCs w:val="32"/>
          <w:u w:val="single"/>
        </w:rPr>
        <w:lastRenderedPageBreak/>
        <w:t>D</w:t>
      </w:r>
      <w:r>
        <w:rPr>
          <w:rFonts w:ascii="Tahoma" w:hAnsi="Tahoma" w:cs="Tahoma"/>
          <w:sz w:val="32"/>
          <w:szCs w:val="32"/>
          <w:u w:val="single"/>
        </w:rPr>
        <w:t>ay</w:t>
      </w:r>
    </w:p>
    <w:p w14:paraId="5700C2C0" w14:textId="56F6C7DE" w:rsidR="00EB3D8F" w:rsidRDefault="00124A3A" w:rsidP="00041E45">
      <w:pPr>
        <w:jc w:val="both"/>
        <w:rPr>
          <w:rFonts w:ascii="Tahoma" w:hAnsi="Tahoma" w:cs="Tahoma"/>
        </w:rPr>
      </w:pPr>
      <w:r>
        <w:rPr>
          <w:noProof/>
        </w:rPr>
        <w:drawing>
          <wp:inline distT="0" distB="0" distL="0" distR="0" wp14:anchorId="545E6B6F" wp14:editId="1894354C">
            <wp:extent cx="5760720" cy="4320540"/>
            <wp:effectExtent l="0" t="0" r="0" b="3810"/>
            <wp:docPr id="123232967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4577A15A" w14:textId="77777777" w:rsidR="00EB3D8F" w:rsidRDefault="00EB3D8F" w:rsidP="00041E45">
      <w:pPr>
        <w:jc w:val="both"/>
        <w:rPr>
          <w:rFonts w:ascii="Tahoma" w:hAnsi="Tahoma" w:cs="Tahoma"/>
        </w:rPr>
      </w:pPr>
    </w:p>
    <w:p w14:paraId="2E5E80F0" w14:textId="77777777" w:rsidR="00124A3A" w:rsidRDefault="00124A3A" w:rsidP="00124A3A">
      <w:pPr>
        <w:jc w:val="both"/>
        <w:rPr>
          <w:rFonts w:ascii="Tahoma" w:hAnsi="Tahoma" w:cs="Tahoma"/>
        </w:rPr>
      </w:pPr>
      <w:r>
        <w:rPr>
          <w:rFonts w:ascii="Tahoma" w:hAnsi="Tahoma" w:cs="Tahoma"/>
        </w:rPr>
        <w:t xml:space="preserve">A travers les données de court terme, regardons d’un peu plus </w:t>
      </w:r>
      <w:proofErr w:type="spellStart"/>
      <w:r>
        <w:rPr>
          <w:rFonts w:ascii="Tahoma" w:hAnsi="Tahoma" w:cs="Tahoma"/>
        </w:rPr>
        <w:t>prés</w:t>
      </w:r>
      <w:proofErr w:type="spellEnd"/>
      <w:r>
        <w:rPr>
          <w:rFonts w:ascii="Tahoma" w:hAnsi="Tahoma" w:cs="Tahoma"/>
        </w:rPr>
        <w:t xml:space="preserve"> la dynamique des prix lors de l’arrivée du marché sur le support de 119.40. </w:t>
      </w:r>
    </w:p>
    <w:p w14:paraId="7A8539F2" w14:textId="77777777" w:rsidR="00124A3A" w:rsidRDefault="00124A3A" w:rsidP="00124A3A">
      <w:pPr>
        <w:jc w:val="both"/>
        <w:rPr>
          <w:rFonts w:ascii="Tahoma" w:hAnsi="Tahoma" w:cs="Tahoma"/>
        </w:rPr>
      </w:pPr>
      <w:r>
        <w:rPr>
          <w:rFonts w:ascii="Tahoma" w:hAnsi="Tahoma" w:cs="Tahoma"/>
        </w:rPr>
        <w:t>On constate déjà que le support n’a pas été invalidé sur cette unité de temps.</w:t>
      </w:r>
    </w:p>
    <w:p w14:paraId="640CF30C" w14:textId="77777777" w:rsidR="00124A3A" w:rsidRDefault="00124A3A" w:rsidP="00124A3A">
      <w:pPr>
        <w:jc w:val="both"/>
        <w:rPr>
          <w:rFonts w:ascii="Tahoma" w:hAnsi="Tahoma" w:cs="Tahoma"/>
        </w:rPr>
      </w:pPr>
      <w:r>
        <w:rPr>
          <w:rFonts w:ascii="Tahoma" w:hAnsi="Tahoma" w:cs="Tahoma"/>
        </w:rPr>
        <w:t>Le plus intéressant est le retournement de la TS qui traduit maintenant une dynamique favorable à la hausse des cours. Mais cette option ne sera complètement validée que si 121.92 (point haut de la dernière chandelle) est dépassé. Sinon, la TS s’aplatira. Et le développement de ce plat nous dira que la hausse de ces derniers jours fait place à une consolidation au-dessus de 119.40.</w:t>
      </w:r>
    </w:p>
    <w:p w14:paraId="5FD4F032" w14:textId="77777777" w:rsidR="00124A3A" w:rsidRDefault="00124A3A" w:rsidP="00124A3A">
      <w:pPr>
        <w:jc w:val="both"/>
        <w:rPr>
          <w:rFonts w:ascii="Tahoma" w:hAnsi="Tahoma" w:cs="Tahoma"/>
        </w:rPr>
      </w:pPr>
      <w:r>
        <w:rPr>
          <w:rFonts w:ascii="Tahoma" w:hAnsi="Tahoma" w:cs="Tahoma"/>
        </w:rPr>
        <w:t>Le point haut de la dernière bougie de 121.92 correspond au plat de SSB du nuage futur. C’était une résistance potentielle sur le court terme. La forme de cette dernière chandelle nous dit aussi que la poursuite de la hausse ne fait pas l’unanimité. Sans remettre en question sa direction, pour l’instant, on voit l’importance du dépassement de cette résistance de 121.92 pour envisager une poursuite de la hausse.</w:t>
      </w:r>
    </w:p>
    <w:p w14:paraId="5701EECC" w14:textId="77777777" w:rsidR="00EB3D8F" w:rsidRDefault="00EB3D8F" w:rsidP="00041E45">
      <w:pPr>
        <w:jc w:val="both"/>
        <w:rPr>
          <w:rFonts w:ascii="Tahoma" w:hAnsi="Tahoma" w:cs="Tahoma"/>
        </w:rPr>
      </w:pPr>
    </w:p>
    <w:p w14:paraId="3A919EC5" w14:textId="77777777" w:rsidR="00EB3D8F" w:rsidRDefault="00EB3D8F" w:rsidP="00041E45">
      <w:pPr>
        <w:jc w:val="both"/>
        <w:rPr>
          <w:rFonts w:ascii="Tahoma" w:hAnsi="Tahoma" w:cs="Tahoma"/>
        </w:rPr>
      </w:pPr>
    </w:p>
    <w:p w14:paraId="2290729C" w14:textId="77777777" w:rsidR="00EB3D8F" w:rsidRDefault="00EB3D8F" w:rsidP="00041E45">
      <w:pPr>
        <w:jc w:val="both"/>
        <w:rPr>
          <w:rFonts w:ascii="Tahoma" w:hAnsi="Tahoma" w:cs="Tahoma"/>
        </w:rPr>
      </w:pPr>
    </w:p>
    <w:p w14:paraId="258EB8FF" w14:textId="523BDB5F" w:rsidR="00B94D71" w:rsidRDefault="00B94D71" w:rsidP="00B94D71">
      <w:pPr>
        <w:jc w:val="both"/>
        <w:rPr>
          <w:rFonts w:ascii="Tahoma" w:hAnsi="Tahoma" w:cs="Tahoma"/>
        </w:rPr>
      </w:pPr>
      <w:r>
        <w:rPr>
          <w:rFonts w:ascii="Tahoma" w:hAnsi="Tahoma" w:cs="Tahoma"/>
          <w:u w:val="single"/>
        </w:rPr>
        <w:lastRenderedPageBreak/>
        <w:t>CONCLUSION</w:t>
      </w:r>
      <w:r>
        <w:rPr>
          <w:rFonts w:ascii="Tahoma" w:hAnsi="Tahoma" w:cs="Tahoma"/>
        </w:rPr>
        <w:t> :</w:t>
      </w:r>
      <w:r w:rsidR="0090585A">
        <w:rPr>
          <w:rFonts w:ascii="Tahoma" w:hAnsi="Tahoma" w:cs="Tahoma"/>
        </w:rPr>
        <w:t xml:space="preserve"> Le rebond du contrat </w:t>
      </w:r>
      <w:r w:rsidR="00375A6D">
        <w:rPr>
          <w:rFonts w:ascii="Tahoma" w:hAnsi="Tahoma" w:cs="Tahoma"/>
        </w:rPr>
        <w:t>au-dessus</w:t>
      </w:r>
      <w:r w:rsidR="0090585A">
        <w:rPr>
          <w:rFonts w:ascii="Tahoma" w:hAnsi="Tahoma" w:cs="Tahoma"/>
        </w:rPr>
        <w:t xml:space="preserve"> de 119.40 est positif. Il permet de penser que la vague de baisse est terminer et que le marché va entrer soit dans une phase de hausse soit dans une période de consolidation.</w:t>
      </w:r>
    </w:p>
    <w:p w14:paraId="3CDB8CBF" w14:textId="1C8CC5AF" w:rsidR="00617165" w:rsidRDefault="00954A34" w:rsidP="00B94D71">
      <w:pPr>
        <w:jc w:val="both"/>
        <w:rPr>
          <w:rFonts w:ascii="Tahoma" w:hAnsi="Tahoma" w:cs="Tahoma"/>
        </w:rPr>
      </w:pPr>
      <w:r>
        <w:rPr>
          <w:rFonts w:ascii="Tahoma" w:hAnsi="Tahoma" w:cs="Tahoma"/>
        </w:rPr>
        <w:t>Pour autant la poursuite de la hausse n’a pas fait l’unanimité</w:t>
      </w:r>
      <w:r w:rsidR="001247F4">
        <w:rPr>
          <w:rFonts w:ascii="Tahoma" w:hAnsi="Tahoma" w:cs="Tahoma"/>
        </w:rPr>
        <w:t xml:space="preserve">. Cela pourrait se traduire par un retour sur le support de 119.40. Un maintien des cours </w:t>
      </w:r>
      <w:r w:rsidR="00375A6D">
        <w:rPr>
          <w:rFonts w:ascii="Tahoma" w:hAnsi="Tahoma" w:cs="Tahoma"/>
        </w:rPr>
        <w:t>au-dessus</w:t>
      </w:r>
      <w:r w:rsidR="001247F4">
        <w:rPr>
          <w:rFonts w:ascii="Tahoma" w:hAnsi="Tahoma" w:cs="Tahoma"/>
        </w:rPr>
        <w:t xml:space="preserve"> de 120.30 indiquera que les acheteurs sont </w:t>
      </w:r>
      <w:r w:rsidR="00802E4A">
        <w:rPr>
          <w:rFonts w:ascii="Tahoma" w:hAnsi="Tahoma" w:cs="Tahoma"/>
        </w:rPr>
        <w:t>toujours présents</w:t>
      </w:r>
      <w:r w:rsidR="001247F4">
        <w:rPr>
          <w:rFonts w:ascii="Tahoma" w:hAnsi="Tahoma" w:cs="Tahoma"/>
        </w:rPr>
        <w:t xml:space="preserve"> et que la reprise de la baisse est pour le moment exclue. Mais il faudra attendre le dépassement de 121.92 pour envisager de nouveaux hauts sur le court terme.</w:t>
      </w:r>
    </w:p>
    <w:p w14:paraId="2E975A96" w14:textId="709AA91D" w:rsidR="00EE6B93" w:rsidRDefault="001247F4" w:rsidP="00041E45">
      <w:pPr>
        <w:jc w:val="both"/>
        <w:rPr>
          <w:rFonts w:ascii="Tahoma" w:hAnsi="Tahoma" w:cs="Tahoma"/>
        </w:rPr>
      </w:pPr>
      <w:r>
        <w:rPr>
          <w:rFonts w:ascii="Tahoma" w:hAnsi="Tahoma" w:cs="Tahoma"/>
        </w:rPr>
        <w:t xml:space="preserve"> </w:t>
      </w: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165A5"/>
    <w:rsid w:val="0002297B"/>
    <w:rsid w:val="0002580A"/>
    <w:rsid w:val="00041E45"/>
    <w:rsid w:val="000524C5"/>
    <w:rsid w:val="000556C3"/>
    <w:rsid w:val="000833FB"/>
    <w:rsid w:val="00092058"/>
    <w:rsid w:val="000938CC"/>
    <w:rsid w:val="000B221E"/>
    <w:rsid w:val="000B7DFC"/>
    <w:rsid w:val="000C0DE4"/>
    <w:rsid w:val="000C2742"/>
    <w:rsid w:val="000D4ED3"/>
    <w:rsid w:val="001018AD"/>
    <w:rsid w:val="00103ED4"/>
    <w:rsid w:val="00105B4E"/>
    <w:rsid w:val="001247F4"/>
    <w:rsid w:val="00124A3A"/>
    <w:rsid w:val="00134AFA"/>
    <w:rsid w:val="00135766"/>
    <w:rsid w:val="0014687D"/>
    <w:rsid w:val="0015581D"/>
    <w:rsid w:val="00163C46"/>
    <w:rsid w:val="001705F4"/>
    <w:rsid w:val="00190995"/>
    <w:rsid w:val="001A18BB"/>
    <w:rsid w:val="001A4796"/>
    <w:rsid w:val="001A7E01"/>
    <w:rsid w:val="001D474B"/>
    <w:rsid w:val="001F650A"/>
    <w:rsid w:val="002003AD"/>
    <w:rsid w:val="002421FE"/>
    <w:rsid w:val="00262E25"/>
    <w:rsid w:val="00263ED0"/>
    <w:rsid w:val="002A1F8E"/>
    <w:rsid w:val="002B5CB1"/>
    <w:rsid w:val="002C0A31"/>
    <w:rsid w:val="002F54B0"/>
    <w:rsid w:val="0030104A"/>
    <w:rsid w:val="00303214"/>
    <w:rsid w:val="0030643B"/>
    <w:rsid w:val="003069C1"/>
    <w:rsid w:val="00337611"/>
    <w:rsid w:val="00340FD9"/>
    <w:rsid w:val="00344EA2"/>
    <w:rsid w:val="00352DD9"/>
    <w:rsid w:val="00375A6D"/>
    <w:rsid w:val="003767E0"/>
    <w:rsid w:val="00397D3D"/>
    <w:rsid w:val="003A7E57"/>
    <w:rsid w:val="0040171B"/>
    <w:rsid w:val="00467005"/>
    <w:rsid w:val="004A2D2D"/>
    <w:rsid w:val="004A40B4"/>
    <w:rsid w:val="004A5154"/>
    <w:rsid w:val="004D46BC"/>
    <w:rsid w:val="004F48EE"/>
    <w:rsid w:val="00505854"/>
    <w:rsid w:val="00531928"/>
    <w:rsid w:val="005440A4"/>
    <w:rsid w:val="00546A5A"/>
    <w:rsid w:val="00550AAD"/>
    <w:rsid w:val="00566580"/>
    <w:rsid w:val="00567AF3"/>
    <w:rsid w:val="00583BC8"/>
    <w:rsid w:val="005B4A0A"/>
    <w:rsid w:val="00617165"/>
    <w:rsid w:val="00654380"/>
    <w:rsid w:val="00664BE1"/>
    <w:rsid w:val="006B055C"/>
    <w:rsid w:val="006E32BB"/>
    <w:rsid w:val="006E38E0"/>
    <w:rsid w:val="00710599"/>
    <w:rsid w:val="00717535"/>
    <w:rsid w:val="00723F77"/>
    <w:rsid w:val="00744696"/>
    <w:rsid w:val="007659D8"/>
    <w:rsid w:val="00772067"/>
    <w:rsid w:val="0077545D"/>
    <w:rsid w:val="007A0A4B"/>
    <w:rsid w:val="007A0E6C"/>
    <w:rsid w:val="007B1237"/>
    <w:rsid w:val="007B661D"/>
    <w:rsid w:val="007D19FF"/>
    <w:rsid w:val="007D2085"/>
    <w:rsid w:val="007D4181"/>
    <w:rsid w:val="00802E4A"/>
    <w:rsid w:val="0083454A"/>
    <w:rsid w:val="00837B38"/>
    <w:rsid w:val="00896554"/>
    <w:rsid w:val="008A5B78"/>
    <w:rsid w:val="008A7407"/>
    <w:rsid w:val="008F10C2"/>
    <w:rsid w:val="00902D2F"/>
    <w:rsid w:val="0090585A"/>
    <w:rsid w:val="00954A34"/>
    <w:rsid w:val="00957525"/>
    <w:rsid w:val="00957932"/>
    <w:rsid w:val="00961FDF"/>
    <w:rsid w:val="00983B7D"/>
    <w:rsid w:val="009A3675"/>
    <w:rsid w:val="009A37C2"/>
    <w:rsid w:val="009A38D9"/>
    <w:rsid w:val="009B2DAB"/>
    <w:rsid w:val="009F3AB8"/>
    <w:rsid w:val="00A11606"/>
    <w:rsid w:val="00A212E7"/>
    <w:rsid w:val="00A37DB0"/>
    <w:rsid w:val="00A444C0"/>
    <w:rsid w:val="00A45649"/>
    <w:rsid w:val="00A6401C"/>
    <w:rsid w:val="00A81AB7"/>
    <w:rsid w:val="00A97BE0"/>
    <w:rsid w:val="00AA522C"/>
    <w:rsid w:val="00AE7F3B"/>
    <w:rsid w:val="00B26CC5"/>
    <w:rsid w:val="00B34260"/>
    <w:rsid w:val="00B40663"/>
    <w:rsid w:val="00B41C02"/>
    <w:rsid w:val="00B4335A"/>
    <w:rsid w:val="00B5021B"/>
    <w:rsid w:val="00B50E38"/>
    <w:rsid w:val="00B554B8"/>
    <w:rsid w:val="00B64EE0"/>
    <w:rsid w:val="00B94D71"/>
    <w:rsid w:val="00BB0E32"/>
    <w:rsid w:val="00BB6D9D"/>
    <w:rsid w:val="00BC02CC"/>
    <w:rsid w:val="00BC39E0"/>
    <w:rsid w:val="00BC77A5"/>
    <w:rsid w:val="00BD3FC1"/>
    <w:rsid w:val="00BE72DF"/>
    <w:rsid w:val="00C17ED7"/>
    <w:rsid w:val="00C41F15"/>
    <w:rsid w:val="00C70171"/>
    <w:rsid w:val="00C70A68"/>
    <w:rsid w:val="00C82E98"/>
    <w:rsid w:val="00C93C92"/>
    <w:rsid w:val="00CB17C9"/>
    <w:rsid w:val="00CB4A5C"/>
    <w:rsid w:val="00CC72FF"/>
    <w:rsid w:val="00CC7C21"/>
    <w:rsid w:val="00CE0886"/>
    <w:rsid w:val="00CF2516"/>
    <w:rsid w:val="00CF6D63"/>
    <w:rsid w:val="00D23B28"/>
    <w:rsid w:val="00D46C8D"/>
    <w:rsid w:val="00DA1359"/>
    <w:rsid w:val="00DD23A4"/>
    <w:rsid w:val="00DE5444"/>
    <w:rsid w:val="00DF072F"/>
    <w:rsid w:val="00E121D5"/>
    <w:rsid w:val="00E32014"/>
    <w:rsid w:val="00E3727C"/>
    <w:rsid w:val="00EB3D8F"/>
    <w:rsid w:val="00EB51C1"/>
    <w:rsid w:val="00EB58BA"/>
    <w:rsid w:val="00EE6B93"/>
    <w:rsid w:val="00EF503A"/>
    <w:rsid w:val="00F04A6E"/>
    <w:rsid w:val="00F04DEF"/>
    <w:rsid w:val="00F31070"/>
    <w:rsid w:val="00F53F10"/>
    <w:rsid w:val="00F636F8"/>
    <w:rsid w:val="00F64453"/>
    <w:rsid w:val="00F822C4"/>
    <w:rsid w:val="00FA2C8E"/>
    <w:rsid w:val="00FB2128"/>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1133</TotalTime>
  <Pages>5</Pages>
  <Words>854</Words>
  <Characters>4698</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136</cp:revision>
  <dcterms:created xsi:type="dcterms:W3CDTF">2021-11-25T09:44:00Z</dcterms:created>
  <dcterms:modified xsi:type="dcterms:W3CDTF">2026-10-04T12:47:00Z</dcterms:modified>
</cp:coreProperties>
</file>