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56EF4B2C" w:rsidR="00902D2F" w:rsidRPr="00041E45" w:rsidRDefault="007903EF" w:rsidP="00B41C02">
      <w:pPr>
        <w:jc w:val="both"/>
        <w:rPr>
          <w:rFonts w:ascii="Tahoma" w:hAnsi="Tahoma" w:cs="Tahoma"/>
          <w:sz w:val="32"/>
          <w:szCs w:val="32"/>
          <w:u w:val="single"/>
        </w:rPr>
      </w:pPr>
      <w:r>
        <w:rPr>
          <w:rFonts w:ascii="Tahoma" w:hAnsi="Tahoma" w:cs="Tahoma"/>
          <w:sz w:val="32"/>
          <w:szCs w:val="32"/>
          <w:u w:val="single"/>
        </w:rPr>
        <w:t>Day</w:t>
      </w:r>
    </w:p>
    <w:p w14:paraId="2862B446" w14:textId="52A25F2D" w:rsidR="00902D2F" w:rsidRDefault="007903EF" w:rsidP="00B41C02">
      <w:pPr>
        <w:jc w:val="both"/>
        <w:rPr>
          <w:rFonts w:ascii="Tahoma" w:hAnsi="Tahoma" w:cs="Tahoma"/>
        </w:rPr>
      </w:pPr>
      <w:r>
        <w:rPr>
          <w:noProof/>
        </w:rPr>
        <w:drawing>
          <wp:inline distT="0" distB="0" distL="0" distR="0" wp14:anchorId="5AA5A126" wp14:editId="75AF7AB0">
            <wp:extent cx="5760720" cy="4320540"/>
            <wp:effectExtent l="0" t="0" r="0" b="3810"/>
            <wp:docPr id="5463996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7F6CD64E" w:rsidR="00DF072F" w:rsidRDefault="007903EF" w:rsidP="00B41C02">
      <w:pPr>
        <w:jc w:val="both"/>
        <w:rPr>
          <w:rFonts w:ascii="Tahoma" w:hAnsi="Tahoma" w:cs="Tahoma"/>
        </w:rPr>
      </w:pPr>
      <w:r>
        <w:rPr>
          <w:rFonts w:ascii="Tahoma" w:hAnsi="Tahoma" w:cs="Tahoma"/>
        </w:rPr>
        <w:t>La semaine dernière, la mèche haute de la chandelle qui a été chercher le point de 121.92 avant un retrait</w:t>
      </w:r>
      <w:r w:rsidR="007B05AD">
        <w:rPr>
          <w:rFonts w:ascii="Tahoma" w:hAnsi="Tahoma" w:cs="Tahoma"/>
        </w:rPr>
        <w:t>,</w:t>
      </w:r>
      <w:r>
        <w:rPr>
          <w:rFonts w:ascii="Tahoma" w:hAnsi="Tahoma" w:cs="Tahoma"/>
        </w:rPr>
        <w:t xml:space="preserve"> signalait que la poursuite de la hausse ne faisait pas l’unanimité.</w:t>
      </w:r>
      <w:r w:rsidR="00666A13">
        <w:rPr>
          <w:rFonts w:ascii="Tahoma" w:hAnsi="Tahoma" w:cs="Tahoma"/>
        </w:rPr>
        <w:t xml:space="preserve"> </w:t>
      </w:r>
      <w:r w:rsidR="007B05AD">
        <w:rPr>
          <w:rFonts w:ascii="Tahoma" w:hAnsi="Tahoma" w:cs="Tahoma"/>
        </w:rPr>
        <w:t>A</w:t>
      </w:r>
      <w:r w:rsidR="007B05AD">
        <w:rPr>
          <w:rFonts w:ascii="Tahoma" w:hAnsi="Tahoma" w:cs="Tahoma"/>
        </w:rPr>
        <w:t>près une semaine sans réelle direction</w:t>
      </w:r>
      <w:r w:rsidR="007B05AD">
        <w:rPr>
          <w:rFonts w:ascii="Tahoma" w:hAnsi="Tahoma" w:cs="Tahoma"/>
        </w:rPr>
        <w:t xml:space="preserve"> c</w:t>
      </w:r>
      <w:r w:rsidR="00666A13">
        <w:rPr>
          <w:rFonts w:ascii="Tahoma" w:hAnsi="Tahoma" w:cs="Tahoma"/>
        </w:rPr>
        <w:t xml:space="preserve">’est ce qu’il se </w:t>
      </w:r>
      <w:r w:rsidR="003C0A4A">
        <w:rPr>
          <w:rFonts w:ascii="Tahoma" w:hAnsi="Tahoma" w:cs="Tahoma"/>
        </w:rPr>
        <w:t>dégage</w:t>
      </w:r>
      <w:r w:rsidR="00666A13">
        <w:rPr>
          <w:rFonts w:ascii="Tahoma" w:hAnsi="Tahoma" w:cs="Tahoma"/>
        </w:rPr>
        <w:t xml:space="preserve"> aujourd’hui de l’analyse</w:t>
      </w:r>
      <w:r w:rsidR="006D125F">
        <w:rPr>
          <w:rFonts w:ascii="Tahoma" w:hAnsi="Tahoma" w:cs="Tahoma"/>
        </w:rPr>
        <w:t>.</w:t>
      </w:r>
    </w:p>
    <w:p w14:paraId="2ADB0012" w14:textId="66477A5E" w:rsidR="006D125F" w:rsidRDefault="006D125F" w:rsidP="00B41C02">
      <w:pPr>
        <w:jc w:val="both"/>
        <w:rPr>
          <w:rFonts w:ascii="Tahoma" w:hAnsi="Tahoma" w:cs="Tahoma"/>
        </w:rPr>
      </w:pPr>
      <w:r>
        <w:rPr>
          <w:rFonts w:ascii="Tahoma" w:hAnsi="Tahoma" w:cs="Tahoma"/>
        </w:rPr>
        <w:t>Mais comme on peut le constater</w:t>
      </w:r>
      <w:r w:rsidR="007B05AD">
        <w:rPr>
          <w:rFonts w:ascii="Tahoma" w:hAnsi="Tahoma" w:cs="Tahoma"/>
        </w:rPr>
        <w:t>,</w:t>
      </w:r>
      <w:r>
        <w:rPr>
          <w:rFonts w:ascii="Tahoma" w:hAnsi="Tahoma" w:cs="Tahoma"/>
        </w:rPr>
        <w:t xml:space="preserve"> l’absence de majorité haussière ne s’est pas traduite par </w:t>
      </w:r>
      <w:r w:rsidR="007B05AD">
        <w:rPr>
          <w:rFonts w:ascii="Tahoma" w:hAnsi="Tahoma" w:cs="Tahoma"/>
        </w:rPr>
        <w:t>le</w:t>
      </w:r>
      <w:r>
        <w:rPr>
          <w:rFonts w:ascii="Tahoma" w:hAnsi="Tahoma" w:cs="Tahoma"/>
        </w:rPr>
        <w:t xml:space="preserve"> retour d’un courant vendeur plus actif. En effet je n’en </w:t>
      </w:r>
      <w:r w:rsidR="003C0A4A">
        <w:rPr>
          <w:rFonts w:ascii="Tahoma" w:hAnsi="Tahoma" w:cs="Tahoma"/>
        </w:rPr>
        <w:t>avais</w:t>
      </w:r>
      <w:r>
        <w:rPr>
          <w:rFonts w:ascii="Tahoma" w:hAnsi="Tahoma" w:cs="Tahoma"/>
        </w:rPr>
        <w:t xml:space="preserve"> pas parlé la semaine dernière mais </w:t>
      </w:r>
      <w:r w:rsidR="00E34949">
        <w:rPr>
          <w:rFonts w:ascii="Tahoma" w:hAnsi="Tahoma" w:cs="Tahoma"/>
        </w:rPr>
        <w:t>l’enchainement</w:t>
      </w:r>
      <w:r>
        <w:rPr>
          <w:rFonts w:ascii="Tahoma" w:hAnsi="Tahoma" w:cs="Tahoma"/>
        </w:rPr>
        <w:t xml:space="preserve"> du dernier long chandelier noir suivi de petites chandelles </w:t>
      </w:r>
      <w:r w:rsidR="00E34949">
        <w:rPr>
          <w:rFonts w:ascii="Tahoma" w:hAnsi="Tahoma" w:cs="Tahoma"/>
        </w:rPr>
        <w:t xml:space="preserve">qui se terminent par une longue chandelle blanche, forme une structure de retournement haussière (creux en tours), </w:t>
      </w:r>
      <w:r w:rsidR="007B05AD">
        <w:rPr>
          <w:rFonts w:ascii="Tahoma" w:hAnsi="Tahoma" w:cs="Tahoma"/>
        </w:rPr>
        <w:t xml:space="preserve">qui </w:t>
      </w:r>
      <w:r w:rsidR="00E34949">
        <w:rPr>
          <w:rFonts w:ascii="Tahoma" w:hAnsi="Tahoma" w:cs="Tahoma"/>
        </w:rPr>
        <w:t>indiqu</w:t>
      </w:r>
      <w:r w:rsidR="007B05AD">
        <w:rPr>
          <w:rFonts w:ascii="Tahoma" w:hAnsi="Tahoma" w:cs="Tahoma"/>
        </w:rPr>
        <w:t>e</w:t>
      </w:r>
      <w:r w:rsidR="00E34949">
        <w:rPr>
          <w:rFonts w:ascii="Tahoma" w:hAnsi="Tahoma" w:cs="Tahoma"/>
        </w:rPr>
        <w:t xml:space="preserve"> un affaiblissement du directionnel baissier et l’établissement d’une zone d’achat autour de 119.40.</w:t>
      </w:r>
    </w:p>
    <w:p w14:paraId="2C046EB9" w14:textId="07DD2C2B" w:rsidR="00E34949" w:rsidRDefault="00F349A7" w:rsidP="00B41C02">
      <w:pPr>
        <w:jc w:val="both"/>
        <w:rPr>
          <w:rFonts w:ascii="Tahoma" w:hAnsi="Tahoma" w:cs="Tahoma"/>
        </w:rPr>
      </w:pPr>
      <w:r>
        <w:rPr>
          <w:rFonts w:ascii="Tahoma" w:hAnsi="Tahoma" w:cs="Tahoma"/>
        </w:rPr>
        <w:t xml:space="preserve">L’aplatissement de la TS montre que le contrat est sorti pour l’instant de sa dynamique baissière, mais </w:t>
      </w:r>
      <w:r w:rsidR="007E1AA3">
        <w:rPr>
          <w:rFonts w:ascii="Tahoma" w:hAnsi="Tahoma" w:cs="Tahoma"/>
        </w:rPr>
        <w:t>l</w:t>
      </w:r>
      <w:r>
        <w:rPr>
          <w:rFonts w:ascii="Tahoma" w:hAnsi="Tahoma" w:cs="Tahoma"/>
        </w:rPr>
        <w:t xml:space="preserve">e plat </w:t>
      </w:r>
      <w:r w:rsidR="003C0A4A">
        <w:rPr>
          <w:rFonts w:ascii="Tahoma" w:hAnsi="Tahoma" w:cs="Tahoma"/>
        </w:rPr>
        <w:t>écarte</w:t>
      </w:r>
      <w:r>
        <w:rPr>
          <w:rFonts w:ascii="Tahoma" w:hAnsi="Tahoma" w:cs="Tahoma"/>
        </w:rPr>
        <w:t xml:space="preserve"> aussi l</w:t>
      </w:r>
      <w:r w:rsidR="007E1AA3">
        <w:rPr>
          <w:rFonts w:ascii="Tahoma" w:hAnsi="Tahoma" w:cs="Tahoma"/>
        </w:rPr>
        <w:t>e prolongement de la</w:t>
      </w:r>
      <w:r w:rsidR="004806E9">
        <w:rPr>
          <w:rFonts w:ascii="Tahoma" w:hAnsi="Tahoma" w:cs="Tahoma"/>
        </w:rPr>
        <w:t xml:space="preserve"> hausse</w:t>
      </w:r>
      <w:r w:rsidR="00BC4074">
        <w:rPr>
          <w:rFonts w:ascii="Tahoma" w:hAnsi="Tahoma" w:cs="Tahoma"/>
        </w:rPr>
        <w:t xml:space="preserve">. Je dirai que le maintien du marché </w:t>
      </w:r>
      <w:r w:rsidR="003C0A4A">
        <w:rPr>
          <w:rFonts w:ascii="Tahoma" w:hAnsi="Tahoma" w:cs="Tahoma"/>
        </w:rPr>
        <w:t>au-dessus</w:t>
      </w:r>
      <w:r w:rsidR="00BC4074">
        <w:rPr>
          <w:rFonts w:ascii="Tahoma" w:hAnsi="Tahoma" w:cs="Tahoma"/>
        </w:rPr>
        <w:t xml:space="preserve"> de 120.58, niveau de la TS permettra d’envisager un retour des prix sur la résistance de 121.92.</w:t>
      </w:r>
    </w:p>
    <w:p w14:paraId="6456B2AC" w14:textId="0FE42222" w:rsidR="00A444C0" w:rsidRDefault="00167930" w:rsidP="00B41C02">
      <w:pPr>
        <w:jc w:val="both"/>
        <w:rPr>
          <w:rFonts w:ascii="Tahoma" w:hAnsi="Tahoma" w:cs="Tahoma"/>
        </w:rPr>
      </w:pPr>
      <w:r>
        <w:rPr>
          <w:rFonts w:ascii="Tahoma" w:hAnsi="Tahoma" w:cs="Tahoma"/>
        </w:rPr>
        <w:t>Comme le montre le graphique</w:t>
      </w:r>
      <w:r w:rsidR="004733D4">
        <w:rPr>
          <w:rFonts w:ascii="Tahoma" w:hAnsi="Tahoma" w:cs="Tahoma"/>
        </w:rPr>
        <w:t>,</w:t>
      </w:r>
      <w:r>
        <w:rPr>
          <w:rFonts w:ascii="Tahoma" w:hAnsi="Tahoma" w:cs="Tahoma"/>
        </w:rPr>
        <w:t xml:space="preserve"> la zone </w:t>
      </w:r>
      <w:r w:rsidR="003C0A4A">
        <w:rPr>
          <w:rFonts w:ascii="Tahoma" w:hAnsi="Tahoma" w:cs="Tahoma"/>
        </w:rPr>
        <w:t>à</w:t>
      </w:r>
      <w:r>
        <w:rPr>
          <w:rFonts w:ascii="Tahoma" w:hAnsi="Tahoma" w:cs="Tahoma"/>
        </w:rPr>
        <w:t xml:space="preserve"> dépasser pour envisager une reprise de la hausse sera 121.92. Ce point représente un haut récent, un plat de SSB future et le niveau de l’oblique baissière qui coiffe les prix.</w:t>
      </w:r>
    </w:p>
    <w:p w14:paraId="23604B11" w14:textId="77777777" w:rsidR="00A444C0" w:rsidRPr="00041E45" w:rsidRDefault="00A444C0" w:rsidP="00A444C0">
      <w:pPr>
        <w:jc w:val="both"/>
        <w:rPr>
          <w:rFonts w:ascii="Tahoma" w:hAnsi="Tahoma" w:cs="Tahoma"/>
          <w:sz w:val="32"/>
          <w:szCs w:val="32"/>
          <w:u w:val="single"/>
        </w:rPr>
      </w:pPr>
      <w:r w:rsidRPr="00041E45">
        <w:rPr>
          <w:rFonts w:ascii="Tahoma" w:hAnsi="Tahoma" w:cs="Tahoma"/>
          <w:sz w:val="32"/>
          <w:szCs w:val="32"/>
          <w:u w:val="single"/>
        </w:rPr>
        <w:lastRenderedPageBreak/>
        <w:t>Week</w:t>
      </w:r>
    </w:p>
    <w:p w14:paraId="402C9A9A" w14:textId="10136BC3" w:rsidR="00A444C0" w:rsidRDefault="007903EF" w:rsidP="00A444C0">
      <w:pPr>
        <w:jc w:val="both"/>
        <w:rPr>
          <w:rFonts w:ascii="Tahoma" w:hAnsi="Tahoma" w:cs="Tahoma"/>
        </w:rPr>
      </w:pPr>
      <w:r>
        <w:rPr>
          <w:noProof/>
        </w:rPr>
        <w:drawing>
          <wp:inline distT="0" distB="0" distL="0" distR="0" wp14:anchorId="05B7571A" wp14:editId="75F7E33E">
            <wp:extent cx="5760720" cy="4320540"/>
            <wp:effectExtent l="0" t="0" r="0" b="3810"/>
            <wp:docPr id="10946141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A33CE1B" w14:textId="77777777" w:rsidR="00A444C0" w:rsidRDefault="00A444C0" w:rsidP="00A444C0">
      <w:pPr>
        <w:jc w:val="both"/>
        <w:rPr>
          <w:rFonts w:ascii="Tahoma" w:hAnsi="Tahoma" w:cs="Tahoma"/>
        </w:rPr>
      </w:pPr>
    </w:p>
    <w:p w14:paraId="00769237" w14:textId="0294CEBC" w:rsidR="00A444C0" w:rsidRDefault="004733D4" w:rsidP="00A444C0">
      <w:pPr>
        <w:jc w:val="both"/>
        <w:rPr>
          <w:rFonts w:ascii="Tahoma" w:hAnsi="Tahoma" w:cs="Tahoma"/>
        </w:rPr>
      </w:pPr>
      <w:r>
        <w:rPr>
          <w:rFonts w:ascii="Tahoma" w:hAnsi="Tahoma" w:cs="Tahoma"/>
        </w:rPr>
        <w:t>Pour le moment, l</w:t>
      </w:r>
      <w:r w:rsidR="00A444C0">
        <w:rPr>
          <w:rFonts w:ascii="Tahoma" w:hAnsi="Tahoma" w:cs="Tahoma"/>
        </w:rPr>
        <w:t>a</w:t>
      </w:r>
      <w:r w:rsidR="00135CE5">
        <w:rPr>
          <w:rFonts w:ascii="Tahoma" w:hAnsi="Tahoma" w:cs="Tahoma"/>
        </w:rPr>
        <w:t xml:space="preserve"> configuration graphique en nuage n’est pas favorable à la hausse </w:t>
      </w:r>
      <w:r>
        <w:rPr>
          <w:rFonts w:ascii="Tahoma" w:hAnsi="Tahoma" w:cs="Tahoma"/>
        </w:rPr>
        <w:t>du contrat</w:t>
      </w:r>
      <w:r w:rsidR="00135CE5">
        <w:rPr>
          <w:rFonts w:ascii="Tahoma" w:hAnsi="Tahoma" w:cs="Tahoma"/>
        </w:rPr>
        <w:t xml:space="preserve">. Les </w:t>
      </w:r>
      <w:r>
        <w:rPr>
          <w:rFonts w:ascii="Tahoma" w:hAnsi="Tahoma" w:cs="Tahoma"/>
        </w:rPr>
        <w:t>cours</w:t>
      </w:r>
      <w:r w:rsidR="00135CE5">
        <w:rPr>
          <w:rFonts w:ascii="Tahoma" w:hAnsi="Tahoma" w:cs="Tahoma"/>
        </w:rPr>
        <w:t xml:space="preserve"> et la LS sont sous leur nuage respectif. Les </w:t>
      </w:r>
      <w:r>
        <w:rPr>
          <w:rFonts w:ascii="Tahoma" w:hAnsi="Tahoma" w:cs="Tahoma"/>
        </w:rPr>
        <w:t>prix</w:t>
      </w:r>
      <w:r w:rsidR="00135CE5">
        <w:rPr>
          <w:rFonts w:ascii="Tahoma" w:hAnsi="Tahoma" w:cs="Tahoma"/>
        </w:rPr>
        <w:t xml:space="preserve"> sont sous la KS et la TS, et cette dernière restera orientée à la baisse</w:t>
      </w:r>
      <w:r w:rsidR="003C0A4A">
        <w:rPr>
          <w:rFonts w:ascii="Tahoma" w:hAnsi="Tahoma" w:cs="Tahoma"/>
        </w:rPr>
        <w:t xml:space="preserve"> encore quelques jours</w:t>
      </w:r>
      <w:r w:rsidR="00135CE5">
        <w:rPr>
          <w:rFonts w:ascii="Tahoma" w:hAnsi="Tahoma" w:cs="Tahoma"/>
        </w:rPr>
        <w:t>.</w:t>
      </w:r>
    </w:p>
    <w:p w14:paraId="7B69B4BA" w14:textId="78401C9B" w:rsidR="00135CE5" w:rsidRDefault="00135CE5" w:rsidP="00A444C0">
      <w:pPr>
        <w:jc w:val="both"/>
        <w:rPr>
          <w:rFonts w:ascii="Tahoma" w:hAnsi="Tahoma" w:cs="Tahoma"/>
        </w:rPr>
      </w:pPr>
      <w:r>
        <w:rPr>
          <w:rFonts w:ascii="Tahoma" w:hAnsi="Tahoma" w:cs="Tahoma"/>
        </w:rPr>
        <w:t>Pour autant, là aussi j’évoquais la semaine dernière la formation d’une figure de retournement en avalement haussier. La zone d’amplitude de la chandelle blanche devrait attirer des acheteurs en cas de repli</w:t>
      </w:r>
      <w:r w:rsidR="00EF4179">
        <w:rPr>
          <w:rFonts w:ascii="Tahoma" w:hAnsi="Tahoma" w:cs="Tahoma"/>
        </w:rPr>
        <w:t>s</w:t>
      </w:r>
      <w:r>
        <w:rPr>
          <w:rFonts w:ascii="Tahoma" w:hAnsi="Tahoma" w:cs="Tahoma"/>
        </w:rPr>
        <w:t xml:space="preserve">. Des acheteurs agressifs </w:t>
      </w:r>
      <w:r w:rsidR="003C0A4A">
        <w:rPr>
          <w:rFonts w:ascii="Tahoma" w:hAnsi="Tahoma" w:cs="Tahoma"/>
        </w:rPr>
        <w:t>au-dessus</w:t>
      </w:r>
      <w:r>
        <w:rPr>
          <w:rFonts w:ascii="Tahoma" w:hAnsi="Tahoma" w:cs="Tahoma"/>
        </w:rPr>
        <w:t xml:space="preserve"> de 120.28, puis </w:t>
      </w:r>
      <w:r w:rsidR="004733D4">
        <w:rPr>
          <w:rFonts w:ascii="Tahoma" w:hAnsi="Tahoma" w:cs="Tahoma"/>
        </w:rPr>
        <w:t xml:space="preserve">en rupture, </w:t>
      </w:r>
      <w:r>
        <w:rPr>
          <w:rFonts w:ascii="Tahoma" w:hAnsi="Tahoma" w:cs="Tahoma"/>
        </w:rPr>
        <w:t>d’autres à la recherche d’opportunité en retour sur 119.55.</w:t>
      </w:r>
    </w:p>
    <w:p w14:paraId="63A6BFF4" w14:textId="027F61A5" w:rsidR="00E14720" w:rsidRDefault="00E14720" w:rsidP="00A444C0">
      <w:pPr>
        <w:jc w:val="both"/>
        <w:rPr>
          <w:rFonts w:ascii="Tahoma" w:hAnsi="Tahoma" w:cs="Tahoma"/>
        </w:rPr>
      </w:pPr>
      <w:r>
        <w:rPr>
          <w:rFonts w:ascii="Tahoma" w:hAnsi="Tahoma" w:cs="Tahoma"/>
        </w:rPr>
        <w:t>Ce sera cette dynamique qu’il faudra suivre au cours de la semaine à venir</w:t>
      </w:r>
      <w:r w:rsidR="004733D4">
        <w:rPr>
          <w:rFonts w:ascii="Tahoma" w:hAnsi="Tahoma" w:cs="Tahoma"/>
        </w:rPr>
        <w:t xml:space="preserve"> tant que 121.92 ne sera pas dépassé.</w:t>
      </w:r>
    </w:p>
    <w:p w14:paraId="6029C7F8" w14:textId="2EE4B8ED" w:rsidR="00E14720" w:rsidRDefault="00E14720" w:rsidP="00A444C0">
      <w:pPr>
        <w:jc w:val="both"/>
        <w:rPr>
          <w:rFonts w:ascii="Tahoma" w:hAnsi="Tahoma" w:cs="Tahoma"/>
        </w:rPr>
      </w:pPr>
      <w:r>
        <w:rPr>
          <w:rFonts w:ascii="Tahoma" w:hAnsi="Tahoma" w:cs="Tahoma"/>
        </w:rPr>
        <w:t>Une reprise de la hausse conditionnée par un dépassement de 121.92 verra comme résistance 123.02, plat de KS et premier point clé dans une dynamique haussière.</w:t>
      </w:r>
    </w:p>
    <w:p w14:paraId="64831929" w14:textId="77777777" w:rsidR="008F7B59" w:rsidRDefault="008F7B59" w:rsidP="00B94D71">
      <w:pPr>
        <w:jc w:val="both"/>
        <w:rPr>
          <w:rFonts w:ascii="Tahoma" w:hAnsi="Tahoma" w:cs="Tahoma"/>
        </w:rPr>
      </w:pPr>
    </w:p>
    <w:p w14:paraId="7FB92307" w14:textId="533543D6" w:rsidR="008F7B59"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8F7B59">
        <w:rPr>
          <w:rFonts w:ascii="Tahoma" w:hAnsi="Tahoma" w:cs="Tahoma"/>
        </w:rPr>
        <w:t xml:space="preserve"> </w:t>
      </w:r>
    </w:p>
    <w:p w14:paraId="783195F1" w14:textId="0782F763" w:rsidR="008F7B59" w:rsidRDefault="008F7B59" w:rsidP="00B94D71">
      <w:pPr>
        <w:jc w:val="both"/>
        <w:rPr>
          <w:rFonts w:ascii="Tahoma" w:hAnsi="Tahoma" w:cs="Tahoma"/>
        </w:rPr>
      </w:pPr>
      <w:r>
        <w:rPr>
          <w:rFonts w:ascii="Tahoma" w:hAnsi="Tahoma" w:cs="Tahoma"/>
        </w:rPr>
        <w:t>Après le rebond des cours sur 119.40, le blocage du marché sur 121.92 a fortement entravé la dynamique de mouvement favorable à la</w:t>
      </w:r>
      <w:r w:rsidR="00EF4179">
        <w:rPr>
          <w:rFonts w:ascii="Tahoma" w:hAnsi="Tahoma" w:cs="Tahoma"/>
        </w:rPr>
        <w:t xml:space="preserve"> poursuite de la</w:t>
      </w:r>
      <w:r>
        <w:rPr>
          <w:rFonts w:ascii="Tahoma" w:hAnsi="Tahoma" w:cs="Tahoma"/>
        </w:rPr>
        <w:t xml:space="preserve"> hausse. Ce blocage s’inscrit dans un environnement positif aussi bien sur le moyen terme que sur le court terme. Les structures </w:t>
      </w:r>
      <w:r w:rsidR="004733D4">
        <w:rPr>
          <w:rFonts w:ascii="Tahoma" w:hAnsi="Tahoma" w:cs="Tahoma"/>
        </w:rPr>
        <w:lastRenderedPageBreak/>
        <w:t xml:space="preserve">positives </w:t>
      </w:r>
      <w:r>
        <w:rPr>
          <w:rFonts w:ascii="Tahoma" w:hAnsi="Tahoma" w:cs="Tahoma"/>
        </w:rPr>
        <w:t>en chandeliers japonais n’ont pas été remise</w:t>
      </w:r>
      <w:r w:rsidR="004733D4">
        <w:rPr>
          <w:rFonts w:ascii="Tahoma" w:hAnsi="Tahoma" w:cs="Tahoma"/>
        </w:rPr>
        <w:t>s</w:t>
      </w:r>
      <w:r>
        <w:rPr>
          <w:rFonts w:ascii="Tahoma" w:hAnsi="Tahoma" w:cs="Tahoma"/>
        </w:rPr>
        <w:t xml:space="preserve"> en cause et cela laisse </w:t>
      </w:r>
      <w:r w:rsidR="000F207C">
        <w:rPr>
          <w:rFonts w:ascii="Tahoma" w:hAnsi="Tahoma" w:cs="Tahoma"/>
        </w:rPr>
        <w:t xml:space="preserve">la possibilité de voir les cours venir </w:t>
      </w:r>
      <w:r>
        <w:rPr>
          <w:rFonts w:ascii="Tahoma" w:hAnsi="Tahoma" w:cs="Tahoma"/>
        </w:rPr>
        <w:t>s’attaquer à la résistance 121.92.</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0F207C"/>
    <w:rsid w:val="001018AD"/>
    <w:rsid w:val="00103ED4"/>
    <w:rsid w:val="00105B4E"/>
    <w:rsid w:val="00134AFA"/>
    <w:rsid w:val="00135766"/>
    <w:rsid w:val="00135CE5"/>
    <w:rsid w:val="0014687D"/>
    <w:rsid w:val="0015581D"/>
    <w:rsid w:val="00163C46"/>
    <w:rsid w:val="00167930"/>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3C0A4A"/>
    <w:rsid w:val="0040171B"/>
    <w:rsid w:val="00467005"/>
    <w:rsid w:val="004733D4"/>
    <w:rsid w:val="004806E9"/>
    <w:rsid w:val="004A2D2D"/>
    <w:rsid w:val="004A5154"/>
    <w:rsid w:val="004F48EE"/>
    <w:rsid w:val="00531928"/>
    <w:rsid w:val="005440A4"/>
    <w:rsid w:val="00546A5A"/>
    <w:rsid w:val="00566580"/>
    <w:rsid w:val="00567AF3"/>
    <w:rsid w:val="00583BC8"/>
    <w:rsid w:val="00654380"/>
    <w:rsid w:val="00664BE1"/>
    <w:rsid w:val="00666A13"/>
    <w:rsid w:val="006B055C"/>
    <w:rsid w:val="006D125F"/>
    <w:rsid w:val="006E32BB"/>
    <w:rsid w:val="006E38E0"/>
    <w:rsid w:val="00710599"/>
    <w:rsid w:val="00723F77"/>
    <w:rsid w:val="00744696"/>
    <w:rsid w:val="00772067"/>
    <w:rsid w:val="0077545D"/>
    <w:rsid w:val="007903EF"/>
    <w:rsid w:val="00793919"/>
    <w:rsid w:val="007A0A4B"/>
    <w:rsid w:val="007A0E6C"/>
    <w:rsid w:val="007B05AD"/>
    <w:rsid w:val="007B1237"/>
    <w:rsid w:val="007B661D"/>
    <w:rsid w:val="007D19FF"/>
    <w:rsid w:val="007D2085"/>
    <w:rsid w:val="007D4181"/>
    <w:rsid w:val="007E1AA3"/>
    <w:rsid w:val="007F29C5"/>
    <w:rsid w:val="0083454A"/>
    <w:rsid w:val="00837B38"/>
    <w:rsid w:val="00896554"/>
    <w:rsid w:val="008A7407"/>
    <w:rsid w:val="008E47D6"/>
    <w:rsid w:val="008F10C2"/>
    <w:rsid w:val="008F7B59"/>
    <w:rsid w:val="00902D2F"/>
    <w:rsid w:val="00961FDF"/>
    <w:rsid w:val="00983B7D"/>
    <w:rsid w:val="009A37C2"/>
    <w:rsid w:val="009F3AB8"/>
    <w:rsid w:val="00A11606"/>
    <w:rsid w:val="00A444C0"/>
    <w:rsid w:val="00A6401C"/>
    <w:rsid w:val="00A81AB7"/>
    <w:rsid w:val="00AA522C"/>
    <w:rsid w:val="00AE7F3B"/>
    <w:rsid w:val="00B34260"/>
    <w:rsid w:val="00B41C02"/>
    <w:rsid w:val="00B4335A"/>
    <w:rsid w:val="00B50E38"/>
    <w:rsid w:val="00B554B8"/>
    <w:rsid w:val="00B64EE0"/>
    <w:rsid w:val="00B94D71"/>
    <w:rsid w:val="00BB0E32"/>
    <w:rsid w:val="00BB6D9D"/>
    <w:rsid w:val="00BC4074"/>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D23A4"/>
    <w:rsid w:val="00DE5444"/>
    <w:rsid w:val="00DF072F"/>
    <w:rsid w:val="00E14720"/>
    <w:rsid w:val="00E32014"/>
    <w:rsid w:val="00E34949"/>
    <w:rsid w:val="00E3727C"/>
    <w:rsid w:val="00EB58BA"/>
    <w:rsid w:val="00EE6B93"/>
    <w:rsid w:val="00EF4179"/>
    <w:rsid w:val="00F04A6E"/>
    <w:rsid w:val="00F04DEF"/>
    <w:rsid w:val="00F31070"/>
    <w:rsid w:val="00F349A7"/>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3</Pages>
  <Words>540</Words>
  <Characters>2974</Characters>
  <Application>Microsoft Office Word</Application>
  <DocSecurity>0</DocSecurity>
  <Lines>24</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111</cp:revision>
  <dcterms:created xsi:type="dcterms:W3CDTF">2021-11-25T09:44:00Z</dcterms:created>
  <dcterms:modified xsi:type="dcterms:W3CDTF">2026-10-10T13:03:00Z</dcterms:modified>
</cp:coreProperties>
</file>