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FC5D5C0" w:rsidR="00902D2F" w:rsidRPr="00041E45" w:rsidRDefault="001E09F4" w:rsidP="00B41C02">
      <w:pPr>
        <w:jc w:val="both"/>
        <w:rPr>
          <w:rFonts w:ascii="Tahoma" w:hAnsi="Tahoma" w:cs="Tahoma"/>
          <w:sz w:val="32"/>
          <w:szCs w:val="32"/>
          <w:u w:val="single"/>
        </w:rPr>
      </w:pPr>
      <w:r>
        <w:rPr>
          <w:rFonts w:ascii="Tahoma" w:hAnsi="Tahoma" w:cs="Tahoma"/>
          <w:sz w:val="32"/>
          <w:szCs w:val="32"/>
          <w:u w:val="single"/>
        </w:rPr>
        <w:t>Day</w:t>
      </w:r>
    </w:p>
    <w:p w14:paraId="2862B446" w14:textId="602D807A" w:rsidR="00902D2F" w:rsidRDefault="007C3BE1" w:rsidP="00B41C02">
      <w:pPr>
        <w:jc w:val="both"/>
        <w:rPr>
          <w:rFonts w:ascii="Tahoma" w:hAnsi="Tahoma" w:cs="Tahoma"/>
        </w:rPr>
      </w:pPr>
      <w:r>
        <w:rPr>
          <w:noProof/>
        </w:rPr>
        <w:drawing>
          <wp:inline distT="0" distB="0" distL="0" distR="0" wp14:anchorId="500E7075" wp14:editId="1AAB75DE">
            <wp:extent cx="5798820" cy="4349115"/>
            <wp:effectExtent l="0" t="0" r="0" b="0"/>
            <wp:docPr id="15917448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98820" cy="4349115"/>
                    </a:xfrm>
                    <a:prstGeom prst="rect">
                      <a:avLst/>
                    </a:prstGeom>
                    <a:noFill/>
                    <a:ln>
                      <a:noFill/>
                    </a:ln>
                  </pic:spPr>
                </pic:pic>
              </a:graphicData>
            </a:graphic>
          </wp:inline>
        </w:drawing>
      </w:r>
    </w:p>
    <w:p w14:paraId="685822D0" w14:textId="0BE1BBAA" w:rsidR="006E32BB" w:rsidRDefault="004E1057" w:rsidP="00B41C02">
      <w:pPr>
        <w:jc w:val="both"/>
        <w:rPr>
          <w:rFonts w:ascii="Tahoma" w:hAnsi="Tahoma" w:cs="Tahoma"/>
        </w:rPr>
      </w:pPr>
      <w:r>
        <w:rPr>
          <w:rFonts w:ascii="Tahoma" w:hAnsi="Tahoma" w:cs="Tahoma"/>
        </w:rPr>
        <w:t>Apres un début de semaine hésitant, le contrat Bund a repris le chemin de la hausse pour dépasser sa première résistance mineure de 121.32 et terminer la semaine sous la borne haute du nuage (SSB)</w:t>
      </w:r>
      <w:r w:rsidR="00D52E88">
        <w:rPr>
          <w:rFonts w:ascii="Tahoma" w:hAnsi="Tahoma" w:cs="Tahoma"/>
        </w:rPr>
        <w:t xml:space="preserve"> de 122.42</w:t>
      </w:r>
      <w:r w:rsidR="009601DD">
        <w:rPr>
          <w:rFonts w:ascii="Tahoma" w:hAnsi="Tahoma" w:cs="Tahoma"/>
        </w:rPr>
        <w:t>.</w:t>
      </w:r>
    </w:p>
    <w:p w14:paraId="19072089" w14:textId="6D3AB069" w:rsidR="009601DD" w:rsidRDefault="009601DD" w:rsidP="00B41C02">
      <w:pPr>
        <w:jc w:val="both"/>
        <w:rPr>
          <w:rFonts w:ascii="Tahoma" w:hAnsi="Tahoma" w:cs="Tahoma"/>
        </w:rPr>
      </w:pPr>
      <w:r>
        <w:rPr>
          <w:rFonts w:ascii="Tahoma" w:hAnsi="Tahoma" w:cs="Tahoma"/>
        </w:rPr>
        <w:t xml:space="preserve">L’action des prix est positive mais le contexte favorable à une poursuite de la hausse ne sera possible qu’en maintien des cours </w:t>
      </w:r>
      <w:r w:rsidR="00FE66D2">
        <w:rPr>
          <w:rFonts w:ascii="Tahoma" w:hAnsi="Tahoma" w:cs="Tahoma"/>
        </w:rPr>
        <w:t>au-dessus</w:t>
      </w:r>
      <w:r>
        <w:rPr>
          <w:rFonts w:ascii="Tahoma" w:hAnsi="Tahoma" w:cs="Tahoma"/>
        </w:rPr>
        <w:t xml:space="preserve"> de 121.32</w:t>
      </w:r>
      <w:r w:rsidR="00A34E3B">
        <w:rPr>
          <w:rFonts w:ascii="Tahoma" w:hAnsi="Tahoma" w:cs="Tahoma"/>
        </w:rPr>
        <w:t xml:space="preserve">. </w:t>
      </w:r>
      <w:r w:rsidR="00D52E88">
        <w:rPr>
          <w:rFonts w:ascii="Tahoma" w:hAnsi="Tahoma" w:cs="Tahoma"/>
        </w:rPr>
        <w:t>E</w:t>
      </w:r>
      <w:r w:rsidR="00A34E3B">
        <w:rPr>
          <w:rFonts w:ascii="Tahoma" w:hAnsi="Tahoma" w:cs="Tahoma"/>
        </w:rPr>
        <w:t xml:space="preserve">n effet, ce point </w:t>
      </w:r>
      <w:r w:rsidR="00D52E88">
        <w:rPr>
          <w:rFonts w:ascii="Tahoma" w:hAnsi="Tahoma" w:cs="Tahoma"/>
        </w:rPr>
        <w:t xml:space="preserve">qui </w:t>
      </w:r>
      <w:r w:rsidR="00A34E3B">
        <w:rPr>
          <w:rFonts w:ascii="Tahoma" w:hAnsi="Tahoma" w:cs="Tahoma"/>
        </w:rPr>
        <w:t>représente un p</w:t>
      </w:r>
      <w:r w:rsidR="00D52E88">
        <w:rPr>
          <w:rFonts w:ascii="Tahoma" w:hAnsi="Tahoma" w:cs="Tahoma"/>
        </w:rPr>
        <w:t>l</w:t>
      </w:r>
      <w:r w:rsidR="00A34E3B">
        <w:rPr>
          <w:rFonts w:ascii="Tahoma" w:hAnsi="Tahoma" w:cs="Tahoma"/>
        </w:rPr>
        <w:t xml:space="preserve">at de SSB future, sera une résistance potentielle au cours de la semaine à venir si le Bund ne </w:t>
      </w:r>
      <w:r w:rsidR="00D52E88">
        <w:rPr>
          <w:rFonts w:ascii="Tahoma" w:hAnsi="Tahoma" w:cs="Tahoma"/>
        </w:rPr>
        <w:t xml:space="preserve">parvient pas à </w:t>
      </w:r>
      <w:r w:rsidR="00A34E3B">
        <w:rPr>
          <w:rFonts w:ascii="Tahoma" w:hAnsi="Tahoma" w:cs="Tahoma"/>
        </w:rPr>
        <w:t>l’utilise</w:t>
      </w:r>
      <w:r w:rsidR="00D52E88">
        <w:rPr>
          <w:rFonts w:ascii="Tahoma" w:hAnsi="Tahoma" w:cs="Tahoma"/>
        </w:rPr>
        <w:t>r</w:t>
      </w:r>
      <w:r w:rsidR="00A34E3B">
        <w:rPr>
          <w:rFonts w:ascii="Tahoma" w:hAnsi="Tahoma" w:cs="Tahoma"/>
        </w:rPr>
        <w:t xml:space="preserve"> comme support.</w:t>
      </w:r>
    </w:p>
    <w:p w14:paraId="59BBA403" w14:textId="58C19046" w:rsidR="00BF0C7E" w:rsidRDefault="00A52695" w:rsidP="00B41C02">
      <w:pPr>
        <w:jc w:val="both"/>
        <w:rPr>
          <w:rFonts w:ascii="Tahoma" w:hAnsi="Tahoma" w:cs="Tahoma"/>
        </w:rPr>
      </w:pPr>
      <w:r>
        <w:rPr>
          <w:rFonts w:ascii="Tahoma" w:hAnsi="Tahoma" w:cs="Tahoma"/>
        </w:rPr>
        <w:t xml:space="preserve">De son coté la LS s’est affranchie de sa barrière de prix. Elle est </w:t>
      </w:r>
      <w:r w:rsidR="00D52E88">
        <w:rPr>
          <w:rFonts w:ascii="Tahoma" w:hAnsi="Tahoma" w:cs="Tahoma"/>
        </w:rPr>
        <w:t xml:space="preserve">aussi </w:t>
      </w:r>
      <w:r>
        <w:rPr>
          <w:rFonts w:ascii="Tahoma" w:hAnsi="Tahoma" w:cs="Tahoma"/>
        </w:rPr>
        <w:t xml:space="preserve">parvenue à dépasser sa KS. Sa prochaine résistance sera matérialisée par l’oblique baissière qu’il ne faudra pas </w:t>
      </w:r>
      <w:r w:rsidR="00FE66D2">
        <w:rPr>
          <w:rFonts w:ascii="Tahoma" w:hAnsi="Tahoma" w:cs="Tahoma"/>
        </w:rPr>
        <w:t>négliger</w:t>
      </w:r>
      <w:r>
        <w:rPr>
          <w:rFonts w:ascii="Tahoma" w:hAnsi="Tahoma" w:cs="Tahoma"/>
        </w:rPr>
        <w:t xml:space="preserve"> en tant qu’obstacle potentiel.</w:t>
      </w:r>
    </w:p>
    <w:p w14:paraId="3B4E5B96" w14:textId="111F2B99" w:rsidR="00A52695" w:rsidRDefault="00A52695" w:rsidP="00B41C02">
      <w:pPr>
        <w:jc w:val="both"/>
        <w:rPr>
          <w:rFonts w:ascii="Tahoma" w:hAnsi="Tahoma" w:cs="Tahoma"/>
        </w:rPr>
      </w:pPr>
      <w:r>
        <w:rPr>
          <w:rFonts w:ascii="Tahoma" w:hAnsi="Tahoma" w:cs="Tahoma"/>
        </w:rPr>
        <w:t>L’indicateur technique ainsi que la TS montre</w:t>
      </w:r>
      <w:r w:rsidR="0081785F">
        <w:rPr>
          <w:rFonts w:ascii="Tahoma" w:hAnsi="Tahoma" w:cs="Tahoma"/>
        </w:rPr>
        <w:t>nt</w:t>
      </w:r>
      <w:r>
        <w:rPr>
          <w:rFonts w:ascii="Tahoma" w:hAnsi="Tahoma" w:cs="Tahoma"/>
        </w:rPr>
        <w:t xml:space="preserve"> une situation de surachat qui pourrait freiner le développement de cette hausse. C’est pour cette raison qu’un maintien du contrat </w:t>
      </w:r>
      <w:r w:rsidR="00FE66D2">
        <w:rPr>
          <w:rFonts w:ascii="Tahoma" w:hAnsi="Tahoma" w:cs="Tahoma"/>
        </w:rPr>
        <w:t>au-dessus</w:t>
      </w:r>
      <w:r>
        <w:rPr>
          <w:rFonts w:ascii="Tahoma" w:hAnsi="Tahoma" w:cs="Tahoma"/>
        </w:rPr>
        <w:t xml:space="preserve"> de 121.32 </w:t>
      </w:r>
      <w:r w:rsidR="0081785F">
        <w:rPr>
          <w:rFonts w:ascii="Tahoma" w:hAnsi="Tahoma" w:cs="Tahoma"/>
        </w:rPr>
        <w:t>permettra de rester positif.</w:t>
      </w:r>
    </w:p>
    <w:p w14:paraId="419FDBBA" w14:textId="56323542" w:rsidR="0081785F" w:rsidRDefault="0081785F" w:rsidP="00B41C02">
      <w:pPr>
        <w:jc w:val="both"/>
        <w:rPr>
          <w:rFonts w:ascii="Tahoma" w:hAnsi="Tahoma" w:cs="Tahoma"/>
        </w:rPr>
      </w:pPr>
      <w:r>
        <w:rPr>
          <w:rFonts w:ascii="Tahoma" w:hAnsi="Tahoma" w:cs="Tahoma"/>
        </w:rPr>
        <w:t xml:space="preserve">La dernière chandelle reprend </w:t>
      </w:r>
      <w:r w:rsidR="00D52E88">
        <w:rPr>
          <w:rFonts w:ascii="Tahoma" w:hAnsi="Tahoma" w:cs="Tahoma"/>
        </w:rPr>
        <w:t>certaines</w:t>
      </w:r>
      <w:r>
        <w:rPr>
          <w:rFonts w:ascii="Tahoma" w:hAnsi="Tahoma" w:cs="Tahoma"/>
        </w:rPr>
        <w:t xml:space="preserve"> caractéristique</w:t>
      </w:r>
      <w:r w:rsidR="00E8717E">
        <w:rPr>
          <w:rFonts w:ascii="Tahoma" w:hAnsi="Tahoma" w:cs="Tahoma"/>
        </w:rPr>
        <w:t>s</w:t>
      </w:r>
      <w:r>
        <w:rPr>
          <w:rFonts w:ascii="Tahoma" w:hAnsi="Tahoma" w:cs="Tahoma"/>
        </w:rPr>
        <w:t xml:space="preserve"> d’une couverture en nuage noire (alerte baissière) dont je limit</w:t>
      </w:r>
      <w:r w:rsidR="00E8717E">
        <w:rPr>
          <w:rFonts w:ascii="Tahoma" w:hAnsi="Tahoma" w:cs="Tahoma"/>
        </w:rPr>
        <w:t>e</w:t>
      </w:r>
      <w:r>
        <w:rPr>
          <w:rFonts w:ascii="Tahoma" w:hAnsi="Tahoma" w:cs="Tahoma"/>
        </w:rPr>
        <w:t>rai l’impact négatif sur les prix du fait de la taille limitée du chandelier noir.</w:t>
      </w:r>
    </w:p>
    <w:p w14:paraId="28423120" w14:textId="05F61AE4" w:rsidR="000C3646" w:rsidRDefault="00BB6D9D" w:rsidP="007C3BE1">
      <w:pPr>
        <w:jc w:val="both"/>
        <w:rPr>
          <w:rFonts w:ascii="Tahoma" w:hAnsi="Tahoma" w:cs="Tahoma"/>
        </w:rPr>
      </w:pPr>
      <w:r>
        <w:rPr>
          <w:rFonts w:ascii="Tahoma" w:hAnsi="Tahoma" w:cs="Tahoma"/>
        </w:rPr>
        <w:lastRenderedPageBreak/>
        <w:t xml:space="preserve"> </w:t>
      </w:r>
      <w:r w:rsidR="00E8717E">
        <w:rPr>
          <w:rFonts w:ascii="Tahoma" w:hAnsi="Tahoma" w:cs="Tahoma"/>
        </w:rPr>
        <w:t>Le petit plat de SSB (haut du nuage) de 122.42</w:t>
      </w:r>
      <w:r w:rsidR="009E3758">
        <w:rPr>
          <w:rFonts w:ascii="Tahoma" w:hAnsi="Tahoma" w:cs="Tahoma"/>
        </w:rPr>
        <w:t xml:space="preserve"> est une résistance. Son dépassement signalera une poursuite de la hausse en direction de 124.80, </w:t>
      </w:r>
      <w:r w:rsidR="00BF5356">
        <w:rPr>
          <w:rFonts w:ascii="Tahoma" w:hAnsi="Tahoma" w:cs="Tahoma"/>
        </w:rPr>
        <w:t xml:space="preserve">ancien support de long terme qui est devenue </w:t>
      </w:r>
      <w:r w:rsidR="00D52E88">
        <w:rPr>
          <w:rFonts w:ascii="Tahoma" w:hAnsi="Tahoma" w:cs="Tahoma"/>
        </w:rPr>
        <w:t xml:space="preserve">aujourd’hui </w:t>
      </w:r>
      <w:r w:rsidR="00BF5356">
        <w:rPr>
          <w:rFonts w:ascii="Tahoma" w:hAnsi="Tahoma" w:cs="Tahoma"/>
        </w:rPr>
        <w:t>résistance depuis son passage.</w:t>
      </w:r>
    </w:p>
    <w:p w14:paraId="1E67EE50" w14:textId="77777777" w:rsidR="00D52E88" w:rsidRDefault="00D52E88" w:rsidP="007C3BE1">
      <w:pPr>
        <w:jc w:val="both"/>
        <w:rPr>
          <w:rFonts w:ascii="Tahoma" w:hAnsi="Tahoma" w:cs="Tahoma"/>
        </w:rPr>
      </w:pPr>
    </w:p>
    <w:p w14:paraId="23604B11" w14:textId="686FE8C8"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5B7D6F9F" w:rsidR="00A444C0" w:rsidRDefault="007C3BE1" w:rsidP="00A444C0">
      <w:pPr>
        <w:jc w:val="both"/>
        <w:rPr>
          <w:rFonts w:ascii="Tahoma" w:hAnsi="Tahoma" w:cs="Tahoma"/>
        </w:rPr>
      </w:pPr>
      <w:r>
        <w:rPr>
          <w:noProof/>
        </w:rPr>
        <w:drawing>
          <wp:inline distT="0" distB="0" distL="0" distR="0" wp14:anchorId="02606E17" wp14:editId="45BA3F79">
            <wp:extent cx="5740400" cy="4305300"/>
            <wp:effectExtent l="0" t="0" r="0" b="0"/>
            <wp:docPr id="51583980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0400" cy="4305300"/>
                    </a:xfrm>
                    <a:prstGeom prst="rect">
                      <a:avLst/>
                    </a:prstGeom>
                    <a:noFill/>
                    <a:ln>
                      <a:noFill/>
                    </a:ln>
                  </pic:spPr>
                </pic:pic>
              </a:graphicData>
            </a:graphic>
          </wp:inline>
        </w:drawing>
      </w:r>
    </w:p>
    <w:p w14:paraId="259AD473" w14:textId="6D1ADB26" w:rsidR="00B10055" w:rsidRDefault="00BF5356" w:rsidP="00041E45">
      <w:pPr>
        <w:jc w:val="both"/>
        <w:rPr>
          <w:rFonts w:ascii="Tahoma" w:hAnsi="Tahoma" w:cs="Tahoma"/>
        </w:rPr>
      </w:pPr>
      <w:r>
        <w:rPr>
          <w:rFonts w:ascii="Tahoma" w:hAnsi="Tahoma" w:cs="Tahoma"/>
        </w:rPr>
        <w:t xml:space="preserve">Le moyen terme nous donne la prochaine résistance importante en dépassement du 122.42 daily. Sur cet horizon de temps, la KS s’est aplatie sur 123.02 pour servir de force de rappel et de résistance. </w:t>
      </w:r>
      <w:r w:rsidR="00D52E88">
        <w:rPr>
          <w:rFonts w:ascii="Tahoma" w:hAnsi="Tahoma" w:cs="Tahoma"/>
        </w:rPr>
        <w:t>Son</w:t>
      </w:r>
      <w:r>
        <w:rPr>
          <w:rFonts w:ascii="Tahoma" w:hAnsi="Tahoma" w:cs="Tahoma"/>
        </w:rPr>
        <w:t xml:space="preserve"> point est rejoint par la LS dont la </w:t>
      </w:r>
      <w:r w:rsidR="00FE66D2">
        <w:rPr>
          <w:rFonts w:ascii="Tahoma" w:hAnsi="Tahoma" w:cs="Tahoma"/>
        </w:rPr>
        <w:t>barrière</w:t>
      </w:r>
      <w:r>
        <w:rPr>
          <w:rFonts w:ascii="Tahoma" w:hAnsi="Tahoma" w:cs="Tahoma"/>
        </w:rPr>
        <w:t xml:space="preserve"> de prix se situe sur le même niveau.</w:t>
      </w:r>
    </w:p>
    <w:p w14:paraId="271E511D" w14:textId="14C779FF" w:rsidR="00BF5356" w:rsidRDefault="0049661A" w:rsidP="00041E45">
      <w:pPr>
        <w:jc w:val="both"/>
        <w:rPr>
          <w:rFonts w:ascii="Tahoma" w:hAnsi="Tahoma" w:cs="Tahoma"/>
        </w:rPr>
      </w:pPr>
      <w:r>
        <w:rPr>
          <w:rFonts w:ascii="Tahoma" w:hAnsi="Tahoma" w:cs="Tahoma"/>
        </w:rPr>
        <w:t>L’avalement haussier (W-4) en tant figure de retournement à la hausse, n’a toujours pas été remis en question. En dehors d’une chandelle d’hésitation en doji, le mouvement est composé essentiellement de chandelles blanches. C</w:t>
      </w:r>
      <w:r w:rsidR="00D52E88">
        <w:rPr>
          <w:rFonts w:ascii="Tahoma" w:hAnsi="Tahoma" w:cs="Tahoma"/>
        </w:rPr>
        <w:t xml:space="preserve">ela </w:t>
      </w:r>
      <w:r>
        <w:rPr>
          <w:rFonts w:ascii="Tahoma" w:hAnsi="Tahoma" w:cs="Tahoma"/>
        </w:rPr>
        <w:t>est positif pour la suite et avantage le test de 123.02 ainsi que son dépassement.</w:t>
      </w:r>
    </w:p>
    <w:p w14:paraId="118429A2" w14:textId="77777777" w:rsidR="00BF5356" w:rsidRDefault="00BF5356" w:rsidP="00041E45">
      <w:pPr>
        <w:jc w:val="both"/>
        <w:rPr>
          <w:rFonts w:ascii="Tahoma" w:hAnsi="Tahoma" w:cs="Tahoma"/>
        </w:rPr>
      </w:pPr>
    </w:p>
    <w:p w14:paraId="6643BEE7" w14:textId="77777777" w:rsidR="008F7993" w:rsidRDefault="008F7993" w:rsidP="00041E45">
      <w:pPr>
        <w:jc w:val="both"/>
        <w:rPr>
          <w:rFonts w:ascii="Tahoma" w:hAnsi="Tahoma" w:cs="Tahoma"/>
        </w:rPr>
      </w:pPr>
    </w:p>
    <w:p w14:paraId="071D841B" w14:textId="03302D57" w:rsidR="00FC6158" w:rsidRDefault="00B94D71" w:rsidP="007C3BE1">
      <w:pPr>
        <w:spacing w:after="0"/>
        <w:jc w:val="both"/>
        <w:rPr>
          <w:rFonts w:ascii="Tahoma" w:hAnsi="Tahoma" w:cs="Tahoma"/>
        </w:rPr>
      </w:pPr>
      <w:r>
        <w:rPr>
          <w:rFonts w:ascii="Tahoma" w:hAnsi="Tahoma" w:cs="Tahoma"/>
          <w:u w:val="single"/>
        </w:rPr>
        <w:t>CONCLUSION</w:t>
      </w:r>
      <w:r>
        <w:rPr>
          <w:rFonts w:ascii="Tahoma" w:hAnsi="Tahoma" w:cs="Tahoma"/>
        </w:rPr>
        <w:t> :</w:t>
      </w:r>
      <w:r w:rsidR="00AD5B0B">
        <w:rPr>
          <w:rFonts w:ascii="Tahoma" w:hAnsi="Tahoma" w:cs="Tahoma"/>
        </w:rPr>
        <w:t xml:space="preserve"> </w:t>
      </w:r>
      <w:r w:rsidR="0049661A">
        <w:rPr>
          <w:rFonts w:ascii="Tahoma" w:hAnsi="Tahoma" w:cs="Tahoma"/>
        </w:rPr>
        <w:t xml:space="preserve">Les </w:t>
      </w:r>
      <w:r w:rsidR="00FE66D2">
        <w:rPr>
          <w:rFonts w:ascii="Tahoma" w:hAnsi="Tahoma" w:cs="Tahoma"/>
        </w:rPr>
        <w:t>développements</w:t>
      </w:r>
      <w:r w:rsidR="0049661A">
        <w:rPr>
          <w:rFonts w:ascii="Tahoma" w:hAnsi="Tahoma" w:cs="Tahoma"/>
        </w:rPr>
        <w:t xml:space="preserve"> de court terme et de moyen terme, sont positifs. Seul un retour des prix </w:t>
      </w:r>
      <w:r w:rsidR="00D52E88">
        <w:rPr>
          <w:rFonts w:ascii="Tahoma" w:hAnsi="Tahoma" w:cs="Tahoma"/>
        </w:rPr>
        <w:t xml:space="preserve">et un maintien </w:t>
      </w:r>
      <w:r w:rsidR="0049661A">
        <w:rPr>
          <w:rFonts w:ascii="Tahoma" w:hAnsi="Tahoma" w:cs="Tahoma"/>
        </w:rPr>
        <w:t xml:space="preserve">sous 121.32 remettra en question ce contexte. </w:t>
      </w:r>
    </w:p>
    <w:p w14:paraId="2E975A96" w14:textId="523E06A5" w:rsidR="00EE6B93" w:rsidRDefault="0049661A" w:rsidP="008F7993">
      <w:pPr>
        <w:spacing w:after="0"/>
        <w:jc w:val="both"/>
        <w:rPr>
          <w:rFonts w:ascii="Tahoma" w:hAnsi="Tahoma" w:cs="Tahoma"/>
        </w:rPr>
      </w:pPr>
      <w:r>
        <w:rPr>
          <w:rFonts w:ascii="Tahoma" w:hAnsi="Tahoma" w:cs="Tahoma"/>
        </w:rPr>
        <w:t xml:space="preserve">Ainsi en tenu du marché </w:t>
      </w:r>
      <w:r w:rsidR="00FE66D2">
        <w:rPr>
          <w:rFonts w:ascii="Tahoma" w:hAnsi="Tahoma" w:cs="Tahoma"/>
        </w:rPr>
        <w:t>au-dessus</w:t>
      </w:r>
      <w:r>
        <w:rPr>
          <w:rFonts w:ascii="Tahoma" w:hAnsi="Tahoma" w:cs="Tahoma"/>
        </w:rPr>
        <w:t xml:space="preserve"> de 121.32, les prochaines résistances seront sur 122.42 et 123.02. En dépassement nous pourront envisager une poursuite de la hausse, en daily sur </w:t>
      </w:r>
      <w:r>
        <w:rPr>
          <w:rFonts w:ascii="Tahoma" w:hAnsi="Tahoma" w:cs="Tahoma"/>
        </w:rPr>
        <w:lastRenderedPageBreak/>
        <w:t>123.60/90</w:t>
      </w:r>
      <w:r w:rsidR="00D52E88">
        <w:rPr>
          <w:rFonts w:ascii="Tahoma" w:hAnsi="Tahoma" w:cs="Tahoma"/>
        </w:rPr>
        <w:t>,</w:t>
      </w:r>
      <w:r>
        <w:rPr>
          <w:rFonts w:ascii="Tahoma" w:hAnsi="Tahoma" w:cs="Tahoma"/>
        </w:rPr>
        <w:t xml:space="preserve"> matérialisé par la bordure basse du nuage de la LS</w:t>
      </w:r>
      <w:r w:rsidR="00D52E88">
        <w:rPr>
          <w:rFonts w:ascii="Tahoma" w:hAnsi="Tahoma" w:cs="Tahoma"/>
        </w:rPr>
        <w:t>.</w:t>
      </w:r>
      <w:r>
        <w:rPr>
          <w:rFonts w:ascii="Tahoma" w:hAnsi="Tahoma" w:cs="Tahoma"/>
        </w:rPr>
        <w:t xml:space="preserve"> </w:t>
      </w:r>
      <w:r w:rsidR="00D52E88">
        <w:rPr>
          <w:rFonts w:ascii="Tahoma" w:hAnsi="Tahoma" w:cs="Tahoma"/>
        </w:rPr>
        <w:t>E</w:t>
      </w:r>
      <w:r>
        <w:rPr>
          <w:rFonts w:ascii="Tahoma" w:hAnsi="Tahoma" w:cs="Tahoma"/>
        </w:rPr>
        <w:t xml:space="preserve">n weekly </w:t>
      </w:r>
      <w:r w:rsidR="00EA7A8B">
        <w:rPr>
          <w:rFonts w:ascii="Tahoma" w:hAnsi="Tahoma" w:cs="Tahoma"/>
        </w:rPr>
        <w:t xml:space="preserve">la LS </w:t>
      </w:r>
      <w:r w:rsidR="00D52E88">
        <w:rPr>
          <w:rFonts w:ascii="Tahoma" w:hAnsi="Tahoma" w:cs="Tahoma"/>
        </w:rPr>
        <w:t xml:space="preserve">qui </w:t>
      </w:r>
      <w:r w:rsidR="00EA7A8B">
        <w:rPr>
          <w:rFonts w:ascii="Tahoma" w:hAnsi="Tahoma" w:cs="Tahoma"/>
        </w:rPr>
        <w:t xml:space="preserve">évolue sous sa </w:t>
      </w:r>
      <w:r w:rsidR="00FE66D2">
        <w:rPr>
          <w:rFonts w:ascii="Tahoma" w:hAnsi="Tahoma" w:cs="Tahoma"/>
        </w:rPr>
        <w:t>barrière</w:t>
      </w:r>
      <w:r w:rsidR="00EA7A8B">
        <w:rPr>
          <w:rFonts w:ascii="Tahoma" w:hAnsi="Tahoma" w:cs="Tahoma"/>
        </w:rPr>
        <w:t xml:space="preserve"> de prix trouvera elle aussi 123.60 comme point de résistance.</w:t>
      </w:r>
    </w:p>
    <w:p w14:paraId="65F312E7" w14:textId="77777777" w:rsidR="008F7993" w:rsidRDefault="008F7993" w:rsidP="008F7993">
      <w:pPr>
        <w:spacing w:after="0"/>
        <w:jc w:val="both"/>
        <w:rPr>
          <w:rFonts w:ascii="Tahoma" w:hAnsi="Tahoma" w:cs="Tahoma"/>
        </w:rPr>
      </w:pPr>
    </w:p>
    <w:p w14:paraId="796E1085" w14:textId="77777777" w:rsidR="008F7993" w:rsidRDefault="008F7993" w:rsidP="008F7993">
      <w:pPr>
        <w:spacing w:after="0"/>
        <w:jc w:val="both"/>
        <w:rPr>
          <w:rFonts w:ascii="Tahoma" w:hAnsi="Tahoma" w:cs="Tahoma"/>
        </w:rPr>
      </w:pPr>
    </w:p>
    <w:p w14:paraId="198DB5DF" w14:textId="77777777" w:rsidR="008F7993" w:rsidRDefault="008F7993" w:rsidP="008F7993">
      <w:pPr>
        <w:spacing w:after="0"/>
        <w:jc w:val="both"/>
        <w:rPr>
          <w:rFonts w:ascii="Tahoma" w:hAnsi="Tahoma" w:cs="Tahoma"/>
        </w:rPr>
      </w:pPr>
    </w:p>
    <w:p w14:paraId="10F8A4E4" w14:textId="77777777" w:rsidR="008F7993" w:rsidRDefault="008F7993" w:rsidP="008F7993">
      <w:pPr>
        <w:spacing w:after="0"/>
        <w:jc w:val="both"/>
        <w:rPr>
          <w:rFonts w:ascii="Tahoma" w:hAnsi="Tahoma" w:cs="Tahoma"/>
        </w:rPr>
      </w:pPr>
    </w:p>
    <w:p w14:paraId="3100E4C4" w14:textId="77777777" w:rsidR="008F7993" w:rsidRDefault="008F7993" w:rsidP="008F7993">
      <w:pPr>
        <w:spacing w:after="0"/>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34DC"/>
    <w:rsid w:val="0002580A"/>
    <w:rsid w:val="00041E45"/>
    <w:rsid w:val="000524C5"/>
    <w:rsid w:val="000556C3"/>
    <w:rsid w:val="000833FB"/>
    <w:rsid w:val="00092058"/>
    <w:rsid w:val="000938CC"/>
    <w:rsid w:val="000B221E"/>
    <w:rsid w:val="000B7DFC"/>
    <w:rsid w:val="000C0DE4"/>
    <w:rsid w:val="000C3646"/>
    <w:rsid w:val="000D4ED3"/>
    <w:rsid w:val="000E7CFE"/>
    <w:rsid w:val="001018AD"/>
    <w:rsid w:val="00103ED4"/>
    <w:rsid w:val="00105B4E"/>
    <w:rsid w:val="00134AFA"/>
    <w:rsid w:val="00135766"/>
    <w:rsid w:val="0014687D"/>
    <w:rsid w:val="0015581D"/>
    <w:rsid w:val="00163C46"/>
    <w:rsid w:val="001705F4"/>
    <w:rsid w:val="00190995"/>
    <w:rsid w:val="001A4796"/>
    <w:rsid w:val="001D474B"/>
    <w:rsid w:val="001E09F4"/>
    <w:rsid w:val="001F650A"/>
    <w:rsid w:val="001F6971"/>
    <w:rsid w:val="002003AD"/>
    <w:rsid w:val="002035F3"/>
    <w:rsid w:val="002421FE"/>
    <w:rsid w:val="0025008B"/>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9661A"/>
    <w:rsid w:val="004A2D2D"/>
    <w:rsid w:val="004A5154"/>
    <w:rsid w:val="004E1057"/>
    <w:rsid w:val="004F48EE"/>
    <w:rsid w:val="00531928"/>
    <w:rsid w:val="005440A4"/>
    <w:rsid w:val="00546A5A"/>
    <w:rsid w:val="00566580"/>
    <w:rsid w:val="00567AF3"/>
    <w:rsid w:val="00583BC8"/>
    <w:rsid w:val="005D351C"/>
    <w:rsid w:val="00654380"/>
    <w:rsid w:val="00664BE1"/>
    <w:rsid w:val="0068579A"/>
    <w:rsid w:val="006B055C"/>
    <w:rsid w:val="006D22C0"/>
    <w:rsid w:val="006E32BB"/>
    <w:rsid w:val="006E38E0"/>
    <w:rsid w:val="006F3B46"/>
    <w:rsid w:val="00710599"/>
    <w:rsid w:val="00723F77"/>
    <w:rsid w:val="00744696"/>
    <w:rsid w:val="00772067"/>
    <w:rsid w:val="0077545D"/>
    <w:rsid w:val="00786BF9"/>
    <w:rsid w:val="007A0A4B"/>
    <w:rsid w:val="007A0E6C"/>
    <w:rsid w:val="007B1237"/>
    <w:rsid w:val="007B661D"/>
    <w:rsid w:val="007C3BE1"/>
    <w:rsid w:val="007D19FF"/>
    <w:rsid w:val="007D2085"/>
    <w:rsid w:val="007D4181"/>
    <w:rsid w:val="007F0A0B"/>
    <w:rsid w:val="0081785F"/>
    <w:rsid w:val="0083454A"/>
    <w:rsid w:val="00837B38"/>
    <w:rsid w:val="00886420"/>
    <w:rsid w:val="00896554"/>
    <w:rsid w:val="008A7407"/>
    <w:rsid w:val="008D118E"/>
    <w:rsid w:val="008F10C2"/>
    <w:rsid w:val="008F7993"/>
    <w:rsid w:val="00902D2F"/>
    <w:rsid w:val="009050F1"/>
    <w:rsid w:val="009601DD"/>
    <w:rsid w:val="00961FDF"/>
    <w:rsid w:val="00963964"/>
    <w:rsid w:val="00983B7D"/>
    <w:rsid w:val="009A37C2"/>
    <w:rsid w:val="009D4919"/>
    <w:rsid w:val="009E3758"/>
    <w:rsid w:val="009F3AB8"/>
    <w:rsid w:val="00A11606"/>
    <w:rsid w:val="00A34E3B"/>
    <w:rsid w:val="00A444C0"/>
    <w:rsid w:val="00A52695"/>
    <w:rsid w:val="00A6401C"/>
    <w:rsid w:val="00A80851"/>
    <w:rsid w:val="00A81AB7"/>
    <w:rsid w:val="00A953E9"/>
    <w:rsid w:val="00AA064C"/>
    <w:rsid w:val="00AA522C"/>
    <w:rsid w:val="00AD5B0B"/>
    <w:rsid w:val="00AE7F3B"/>
    <w:rsid w:val="00B10055"/>
    <w:rsid w:val="00B12EB5"/>
    <w:rsid w:val="00B34260"/>
    <w:rsid w:val="00B41C02"/>
    <w:rsid w:val="00B4335A"/>
    <w:rsid w:val="00B50E38"/>
    <w:rsid w:val="00B554B8"/>
    <w:rsid w:val="00B64EE0"/>
    <w:rsid w:val="00B94D71"/>
    <w:rsid w:val="00BB0E32"/>
    <w:rsid w:val="00BB30E5"/>
    <w:rsid w:val="00BB6D9D"/>
    <w:rsid w:val="00BC77A5"/>
    <w:rsid w:val="00BD3FC1"/>
    <w:rsid w:val="00BF0C7E"/>
    <w:rsid w:val="00BF5356"/>
    <w:rsid w:val="00C17ED7"/>
    <w:rsid w:val="00C41F15"/>
    <w:rsid w:val="00C70171"/>
    <w:rsid w:val="00C70A68"/>
    <w:rsid w:val="00C82E98"/>
    <w:rsid w:val="00CB17C9"/>
    <w:rsid w:val="00CB7372"/>
    <w:rsid w:val="00CC72FF"/>
    <w:rsid w:val="00CC7C21"/>
    <w:rsid w:val="00CE0886"/>
    <w:rsid w:val="00CE459D"/>
    <w:rsid w:val="00CF2516"/>
    <w:rsid w:val="00CF6D63"/>
    <w:rsid w:val="00D00496"/>
    <w:rsid w:val="00D23B28"/>
    <w:rsid w:val="00D46C8D"/>
    <w:rsid w:val="00D52E88"/>
    <w:rsid w:val="00D55DB9"/>
    <w:rsid w:val="00DA1359"/>
    <w:rsid w:val="00DC649C"/>
    <w:rsid w:val="00DD23A4"/>
    <w:rsid w:val="00DE5444"/>
    <w:rsid w:val="00DE6338"/>
    <w:rsid w:val="00DF072F"/>
    <w:rsid w:val="00E32014"/>
    <w:rsid w:val="00E3727C"/>
    <w:rsid w:val="00E65685"/>
    <w:rsid w:val="00E8717E"/>
    <w:rsid w:val="00EA7A8B"/>
    <w:rsid w:val="00EB58BA"/>
    <w:rsid w:val="00EE6B93"/>
    <w:rsid w:val="00F04A6E"/>
    <w:rsid w:val="00F04DEF"/>
    <w:rsid w:val="00F31070"/>
    <w:rsid w:val="00F537BD"/>
    <w:rsid w:val="00F53F10"/>
    <w:rsid w:val="00F636F8"/>
    <w:rsid w:val="00FA2C8E"/>
    <w:rsid w:val="00FC1860"/>
    <w:rsid w:val="00FC6158"/>
    <w:rsid w:val="00FC7EA5"/>
    <w:rsid w:val="00FE66D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3</Pages>
  <Words>535</Words>
  <Characters>2947</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132</cp:revision>
  <dcterms:created xsi:type="dcterms:W3CDTF">2021-11-25T09:44:00Z</dcterms:created>
  <dcterms:modified xsi:type="dcterms:W3CDTF">2026-10-25T14:16:00Z</dcterms:modified>
</cp:coreProperties>
</file>