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7E658F97" w:rsidR="00902D2F" w:rsidRPr="00041E45" w:rsidRDefault="00A444C0" w:rsidP="00B41C02">
      <w:pPr>
        <w:jc w:val="both"/>
        <w:rPr>
          <w:rFonts w:ascii="Tahoma" w:hAnsi="Tahoma" w:cs="Tahoma"/>
          <w:sz w:val="32"/>
          <w:szCs w:val="32"/>
          <w:u w:val="single"/>
        </w:rPr>
      </w:pPr>
      <w:r>
        <w:rPr>
          <w:rFonts w:ascii="Tahoma" w:hAnsi="Tahoma" w:cs="Tahoma"/>
          <w:sz w:val="32"/>
          <w:szCs w:val="32"/>
          <w:u w:val="single"/>
        </w:rPr>
        <w:t>Month</w:t>
      </w:r>
    </w:p>
    <w:p w14:paraId="2862B446" w14:textId="125581EB" w:rsidR="00902D2F" w:rsidRDefault="00052C40" w:rsidP="00B41C02">
      <w:pPr>
        <w:jc w:val="both"/>
        <w:rPr>
          <w:rFonts w:ascii="Tahoma" w:hAnsi="Tahoma" w:cs="Tahoma"/>
        </w:rPr>
      </w:pPr>
      <w:r>
        <w:rPr>
          <w:noProof/>
        </w:rPr>
        <w:drawing>
          <wp:inline distT="0" distB="0" distL="0" distR="0" wp14:anchorId="2FD4CC99" wp14:editId="0ACA4A9F">
            <wp:extent cx="5760720" cy="3322320"/>
            <wp:effectExtent l="0" t="0" r="0" b="0"/>
            <wp:docPr id="125031757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3322320"/>
                    </a:xfrm>
                    <a:prstGeom prst="rect">
                      <a:avLst/>
                    </a:prstGeom>
                    <a:noFill/>
                    <a:ln>
                      <a:noFill/>
                    </a:ln>
                  </pic:spPr>
                </pic:pic>
              </a:graphicData>
            </a:graphic>
          </wp:inline>
        </w:drawing>
      </w:r>
    </w:p>
    <w:p w14:paraId="685822D0" w14:textId="791B3F83" w:rsidR="006E32BB" w:rsidRDefault="00052C40" w:rsidP="00B41C02">
      <w:pPr>
        <w:jc w:val="both"/>
        <w:rPr>
          <w:rFonts w:ascii="Tahoma" w:hAnsi="Tahoma" w:cs="Tahoma"/>
        </w:rPr>
      </w:pPr>
      <w:r>
        <w:rPr>
          <w:noProof/>
        </w:rPr>
        <w:drawing>
          <wp:inline distT="0" distB="0" distL="0" distR="0" wp14:anchorId="039D9696" wp14:editId="7E2087AB">
            <wp:extent cx="5760720" cy="4320540"/>
            <wp:effectExtent l="0" t="0" r="0" b="3810"/>
            <wp:docPr id="79566842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AC4D2D2" w14:textId="51826FC8" w:rsidR="00DF072F" w:rsidRDefault="00041E45" w:rsidP="00B41C02">
      <w:pPr>
        <w:jc w:val="both"/>
        <w:rPr>
          <w:rFonts w:ascii="Tahoma" w:hAnsi="Tahoma" w:cs="Tahoma"/>
        </w:rPr>
      </w:pPr>
      <w:r>
        <w:rPr>
          <w:rFonts w:ascii="Tahoma" w:hAnsi="Tahoma" w:cs="Tahoma"/>
        </w:rPr>
        <w:lastRenderedPageBreak/>
        <w:t>L</w:t>
      </w:r>
      <w:r w:rsidR="007B2019">
        <w:rPr>
          <w:rFonts w:ascii="Tahoma" w:hAnsi="Tahoma" w:cs="Tahoma"/>
        </w:rPr>
        <w:t>e contexte de long terme est toujours baissier. Les cours ainsi que la LS évoluent sous leur nuage qui est orienté à la baisse.</w:t>
      </w:r>
    </w:p>
    <w:p w14:paraId="5F1656BA" w14:textId="744147C2" w:rsidR="007B2019" w:rsidRDefault="007B2019" w:rsidP="00B41C02">
      <w:pPr>
        <w:jc w:val="both"/>
        <w:rPr>
          <w:rFonts w:ascii="Tahoma" w:hAnsi="Tahoma" w:cs="Tahoma"/>
        </w:rPr>
      </w:pPr>
      <w:r>
        <w:rPr>
          <w:rFonts w:ascii="Tahoma" w:hAnsi="Tahoma" w:cs="Tahoma"/>
        </w:rPr>
        <w:t xml:space="preserve">La TS et la </w:t>
      </w:r>
      <w:r w:rsidR="009D02C9">
        <w:rPr>
          <w:rFonts w:ascii="Tahoma" w:hAnsi="Tahoma" w:cs="Tahoma"/>
        </w:rPr>
        <w:t>K</w:t>
      </w:r>
      <w:r>
        <w:rPr>
          <w:rFonts w:ascii="Tahoma" w:hAnsi="Tahoma" w:cs="Tahoma"/>
        </w:rPr>
        <w:t>S viennent de s’aplatir</w:t>
      </w:r>
      <w:r w:rsidR="008E14C8">
        <w:rPr>
          <w:rFonts w:ascii="Tahoma" w:hAnsi="Tahoma" w:cs="Tahoma"/>
        </w:rPr>
        <w:t>. Ces courbes indiquent une stabilisation du mouvement favorable à une consolidation des prix.</w:t>
      </w:r>
    </w:p>
    <w:p w14:paraId="79EDDE8A" w14:textId="1AA1EA84" w:rsidR="008E14C8" w:rsidRDefault="008E14C8" w:rsidP="00B41C02">
      <w:pPr>
        <w:jc w:val="both"/>
        <w:rPr>
          <w:rFonts w:ascii="Tahoma" w:hAnsi="Tahoma" w:cs="Tahoma"/>
        </w:rPr>
      </w:pPr>
      <w:r>
        <w:rPr>
          <w:rFonts w:ascii="Tahoma" w:hAnsi="Tahoma" w:cs="Tahoma"/>
        </w:rPr>
        <w:t xml:space="preserve">Cette stabilisation du marché est à mettre en </w:t>
      </w:r>
      <w:r w:rsidR="003F6A16">
        <w:rPr>
          <w:rFonts w:ascii="Tahoma" w:hAnsi="Tahoma" w:cs="Tahoma"/>
        </w:rPr>
        <w:t>parallèle</w:t>
      </w:r>
      <w:r>
        <w:rPr>
          <w:rFonts w:ascii="Tahoma" w:hAnsi="Tahoma" w:cs="Tahoma"/>
        </w:rPr>
        <w:t xml:space="preserve"> avec l’arrivée du contrat sur un support majeur matérialisé par un plat passé de KS sur 119.40.</w:t>
      </w:r>
      <w:r w:rsidR="00324829">
        <w:rPr>
          <w:rFonts w:ascii="Tahoma" w:hAnsi="Tahoma" w:cs="Tahoma"/>
        </w:rPr>
        <w:t xml:space="preserve"> En cassure, l’objectif de baisse est situé sur 114.90. C’est probablement trop actuellement, ce qui peut justifier l’</w:t>
      </w:r>
      <w:r w:rsidR="003F6A16">
        <w:rPr>
          <w:rFonts w:ascii="Tahoma" w:hAnsi="Tahoma" w:cs="Tahoma"/>
        </w:rPr>
        <w:t>arrêt</w:t>
      </w:r>
      <w:r w:rsidR="00324829">
        <w:rPr>
          <w:rFonts w:ascii="Tahoma" w:hAnsi="Tahoma" w:cs="Tahoma"/>
        </w:rPr>
        <w:t xml:space="preserve"> de la baisse.</w:t>
      </w:r>
    </w:p>
    <w:p w14:paraId="78F963F6" w14:textId="6EFB24A9" w:rsidR="0005155D" w:rsidRDefault="0005155D" w:rsidP="00B41C02">
      <w:pPr>
        <w:jc w:val="both"/>
        <w:rPr>
          <w:rFonts w:ascii="Tahoma" w:hAnsi="Tahoma" w:cs="Tahoma"/>
        </w:rPr>
      </w:pPr>
      <w:r>
        <w:rPr>
          <w:rFonts w:ascii="Tahoma" w:hAnsi="Tahoma" w:cs="Tahoma"/>
        </w:rPr>
        <w:t>M</w:t>
      </w:r>
      <w:r w:rsidR="00874515">
        <w:rPr>
          <w:rFonts w:ascii="Tahoma" w:hAnsi="Tahoma" w:cs="Tahoma"/>
        </w:rPr>
        <w:t>ême si</w:t>
      </w:r>
      <w:r>
        <w:rPr>
          <w:rFonts w:ascii="Tahoma" w:hAnsi="Tahoma" w:cs="Tahoma"/>
        </w:rPr>
        <w:t xml:space="preserve"> </w:t>
      </w:r>
      <w:r w:rsidR="003F6A16">
        <w:rPr>
          <w:rFonts w:ascii="Tahoma" w:hAnsi="Tahoma" w:cs="Tahoma"/>
        </w:rPr>
        <w:t>arrêt</w:t>
      </w:r>
      <w:r>
        <w:rPr>
          <w:rFonts w:ascii="Tahoma" w:hAnsi="Tahoma" w:cs="Tahoma"/>
        </w:rPr>
        <w:t xml:space="preserve"> de </w:t>
      </w:r>
      <w:r w:rsidR="003F6A16">
        <w:rPr>
          <w:rFonts w:ascii="Tahoma" w:hAnsi="Tahoma" w:cs="Tahoma"/>
        </w:rPr>
        <w:t>signifie</w:t>
      </w:r>
      <w:r>
        <w:rPr>
          <w:rFonts w:ascii="Tahoma" w:hAnsi="Tahoma" w:cs="Tahoma"/>
        </w:rPr>
        <w:t xml:space="preserve"> pas fin de mouvement</w:t>
      </w:r>
      <w:r w:rsidR="00874515">
        <w:rPr>
          <w:rFonts w:ascii="Tahoma" w:hAnsi="Tahoma" w:cs="Tahoma"/>
        </w:rPr>
        <w:t>,</w:t>
      </w:r>
      <w:r>
        <w:rPr>
          <w:rFonts w:ascii="Tahoma" w:hAnsi="Tahoma" w:cs="Tahoma"/>
        </w:rPr>
        <w:t xml:space="preserve"> la dernière chandelle blanche reprend les caractéristique</w:t>
      </w:r>
      <w:r w:rsidR="00E64D16">
        <w:rPr>
          <w:rFonts w:ascii="Tahoma" w:hAnsi="Tahoma" w:cs="Tahoma"/>
        </w:rPr>
        <w:t>s</w:t>
      </w:r>
      <w:r>
        <w:rPr>
          <w:rFonts w:ascii="Tahoma" w:hAnsi="Tahoma" w:cs="Tahoma"/>
        </w:rPr>
        <w:t xml:space="preserve"> d’une structure de retournement en avalement haussier. </w:t>
      </w:r>
      <w:r w:rsidR="00E64D16">
        <w:rPr>
          <w:rFonts w:ascii="Tahoma" w:hAnsi="Tahoma" w:cs="Tahoma"/>
        </w:rPr>
        <w:t xml:space="preserve">Cette configuration graphique donnera un avantage </w:t>
      </w:r>
      <w:r w:rsidR="009D02C9">
        <w:rPr>
          <w:rFonts w:ascii="Tahoma" w:hAnsi="Tahoma" w:cs="Tahoma"/>
        </w:rPr>
        <w:t>à la hausse</w:t>
      </w:r>
      <w:r w:rsidR="00E64D16">
        <w:rPr>
          <w:rFonts w:ascii="Tahoma" w:hAnsi="Tahoma" w:cs="Tahoma"/>
        </w:rPr>
        <w:t xml:space="preserve"> tant que le point médian de 121.11 ne sera pas enfoncé.</w:t>
      </w:r>
    </w:p>
    <w:p w14:paraId="0AE50E84" w14:textId="2354CFFC" w:rsidR="00E64D16" w:rsidRDefault="00E64D16" w:rsidP="00B41C02">
      <w:pPr>
        <w:jc w:val="both"/>
        <w:rPr>
          <w:rFonts w:ascii="Tahoma" w:hAnsi="Tahoma" w:cs="Tahoma"/>
        </w:rPr>
      </w:pPr>
      <w:r>
        <w:rPr>
          <w:rFonts w:ascii="Tahoma" w:hAnsi="Tahoma" w:cs="Tahoma"/>
        </w:rPr>
        <w:t xml:space="preserve">Face à ce point de 121.11, le contrat devra s’affranchir d’une </w:t>
      </w:r>
      <w:r w:rsidR="003F6A16">
        <w:rPr>
          <w:rFonts w:ascii="Tahoma" w:hAnsi="Tahoma" w:cs="Tahoma"/>
        </w:rPr>
        <w:t>série</w:t>
      </w:r>
      <w:r>
        <w:rPr>
          <w:rFonts w:ascii="Tahoma" w:hAnsi="Tahoma" w:cs="Tahoma"/>
        </w:rPr>
        <w:t xml:space="preserve"> de résistances pour confirmer un retournement de prix. Le premier sera le plat de TS de 123.92 et le second sera le plat de KS de 126.67.</w:t>
      </w:r>
      <w:r w:rsidR="000C401A">
        <w:rPr>
          <w:rFonts w:ascii="Tahoma" w:hAnsi="Tahoma" w:cs="Tahoma"/>
        </w:rPr>
        <w:t xml:space="preserve"> Entre ces deux points, 124.80 l’ancien support pourrait servir de résistance.</w:t>
      </w:r>
    </w:p>
    <w:p w14:paraId="6456B2AC" w14:textId="77777777" w:rsidR="00A444C0" w:rsidRDefault="00A444C0" w:rsidP="00B41C02">
      <w:pPr>
        <w:jc w:val="both"/>
        <w:rPr>
          <w:rFonts w:ascii="Tahoma" w:hAnsi="Tahoma" w:cs="Tahoma"/>
        </w:rPr>
      </w:pPr>
    </w:p>
    <w:p w14:paraId="23604B11" w14:textId="77777777" w:rsidR="00A444C0" w:rsidRPr="00041E45" w:rsidRDefault="00A444C0" w:rsidP="00A444C0">
      <w:pPr>
        <w:jc w:val="both"/>
        <w:rPr>
          <w:rFonts w:ascii="Tahoma" w:hAnsi="Tahoma" w:cs="Tahoma"/>
          <w:sz w:val="32"/>
          <w:szCs w:val="32"/>
          <w:u w:val="single"/>
        </w:rPr>
      </w:pPr>
      <w:r w:rsidRPr="00041E45">
        <w:rPr>
          <w:rFonts w:ascii="Tahoma" w:hAnsi="Tahoma" w:cs="Tahoma"/>
          <w:sz w:val="32"/>
          <w:szCs w:val="32"/>
          <w:u w:val="single"/>
        </w:rPr>
        <w:t>Week</w:t>
      </w:r>
    </w:p>
    <w:p w14:paraId="402C9A9A" w14:textId="3B186241" w:rsidR="00A444C0" w:rsidRDefault="00E7479D" w:rsidP="00A444C0">
      <w:pPr>
        <w:jc w:val="both"/>
        <w:rPr>
          <w:rFonts w:ascii="Tahoma" w:hAnsi="Tahoma" w:cs="Tahoma"/>
        </w:rPr>
      </w:pPr>
      <w:r>
        <w:rPr>
          <w:noProof/>
        </w:rPr>
        <w:drawing>
          <wp:inline distT="0" distB="0" distL="0" distR="0" wp14:anchorId="3D98BF32" wp14:editId="0845E994">
            <wp:extent cx="5760720" cy="4320540"/>
            <wp:effectExtent l="0" t="0" r="0" b="3810"/>
            <wp:docPr id="619255739"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5354CCCD" w14:textId="5CA84898" w:rsidR="00E7479D" w:rsidRDefault="00EF7252" w:rsidP="00A444C0">
      <w:pPr>
        <w:jc w:val="both"/>
        <w:rPr>
          <w:rFonts w:ascii="Tahoma" w:hAnsi="Tahoma" w:cs="Tahoma"/>
        </w:rPr>
      </w:pPr>
      <w:r>
        <w:rPr>
          <w:rFonts w:ascii="Tahoma" w:hAnsi="Tahoma" w:cs="Tahoma"/>
        </w:rPr>
        <w:t xml:space="preserve">Sur le moyen terme, la progression des prix s’est poursuivie depuis le rebond sur 119.40 et la formation d’une structure de retournement haussière. Pour l’instant, aucune ligne en </w:t>
      </w:r>
      <w:r>
        <w:rPr>
          <w:rFonts w:ascii="Tahoma" w:hAnsi="Tahoma" w:cs="Tahoma"/>
        </w:rPr>
        <w:lastRenderedPageBreak/>
        <w:t>chandelier n’a remis en cause l’avalement haussier. Mais l’arrivée des cours sur le plat de KS de 123.02 pourrait inciter les vendeurs à agir.</w:t>
      </w:r>
    </w:p>
    <w:p w14:paraId="3737E78A" w14:textId="654A13BC" w:rsidR="00D16215" w:rsidRDefault="00EF7252" w:rsidP="00A444C0">
      <w:pPr>
        <w:jc w:val="both"/>
        <w:rPr>
          <w:rFonts w:ascii="Tahoma" w:hAnsi="Tahoma" w:cs="Tahoma"/>
        </w:rPr>
      </w:pPr>
      <w:r>
        <w:rPr>
          <w:rFonts w:ascii="Tahoma" w:hAnsi="Tahoma" w:cs="Tahoma"/>
        </w:rPr>
        <w:t>La TS est orientée à la baisse</w:t>
      </w:r>
      <w:r w:rsidR="007970C0">
        <w:rPr>
          <w:rFonts w:ascii="Tahoma" w:hAnsi="Tahoma" w:cs="Tahoma"/>
        </w:rPr>
        <w:t xml:space="preserve"> mais </w:t>
      </w:r>
      <w:r w:rsidR="003F6A16">
        <w:rPr>
          <w:rFonts w:ascii="Tahoma" w:hAnsi="Tahoma" w:cs="Tahoma"/>
        </w:rPr>
        <w:t>au-dessus</w:t>
      </w:r>
      <w:r>
        <w:rPr>
          <w:rFonts w:ascii="Tahoma" w:hAnsi="Tahoma" w:cs="Tahoma"/>
        </w:rPr>
        <w:t xml:space="preserve"> de 119.40, elle se stabilisera</w:t>
      </w:r>
      <w:r w:rsidR="007970C0">
        <w:rPr>
          <w:rFonts w:ascii="Tahoma" w:hAnsi="Tahoma" w:cs="Tahoma"/>
        </w:rPr>
        <w:t xml:space="preserve">. Pour envisager </w:t>
      </w:r>
      <w:r w:rsidR="009D02C9">
        <w:rPr>
          <w:rFonts w:ascii="Tahoma" w:hAnsi="Tahoma" w:cs="Tahoma"/>
        </w:rPr>
        <w:t>le</w:t>
      </w:r>
      <w:r w:rsidR="007970C0">
        <w:rPr>
          <w:rFonts w:ascii="Tahoma" w:hAnsi="Tahoma" w:cs="Tahoma"/>
        </w:rPr>
        <w:t xml:space="preserve"> changement de direction de cette courbe, les prix devront dans un premier temps dépasser 122.79</w:t>
      </w:r>
      <w:r w:rsidR="00E117CA">
        <w:rPr>
          <w:rFonts w:ascii="Tahoma" w:hAnsi="Tahoma" w:cs="Tahoma"/>
        </w:rPr>
        <w:t xml:space="preserve">. Ce point servira de </w:t>
      </w:r>
      <w:r w:rsidR="003F6A16">
        <w:rPr>
          <w:rFonts w:ascii="Tahoma" w:hAnsi="Tahoma" w:cs="Tahoma"/>
        </w:rPr>
        <w:t>repère</w:t>
      </w:r>
      <w:r w:rsidR="00E117CA">
        <w:rPr>
          <w:rFonts w:ascii="Tahoma" w:hAnsi="Tahoma" w:cs="Tahoma"/>
        </w:rPr>
        <w:t xml:space="preserve"> pour </w:t>
      </w:r>
      <w:r w:rsidR="009D02C9">
        <w:rPr>
          <w:rFonts w:ascii="Tahoma" w:hAnsi="Tahoma" w:cs="Tahoma"/>
        </w:rPr>
        <w:t>analyser</w:t>
      </w:r>
      <w:r w:rsidR="00E117CA">
        <w:rPr>
          <w:rFonts w:ascii="Tahoma" w:hAnsi="Tahoma" w:cs="Tahoma"/>
        </w:rPr>
        <w:t xml:space="preserve"> la dynamique des prix. En repartant à la hausse, la TS permettra d’envisager une reprise de la dynamique haussière. Mais il faudra attendre le dépassement du plat de TK de 123.02 pour le confirmer.</w:t>
      </w:r>
    </w:p>
    <w:p w14:paraId="76A210F2" w14:textId="79C5E039" w:rsidR="00EF7252" w:rsidRDefault="00E117CA" w:rsidP="00A444C0">
      <w:pPr>
        <w:jc w:val="both"/>
        <w:rPr>
          <w:rFonts w:ascii="Tahoma" w:hAnsi="Tahoma" w:cs="Tahoma"/>
        </w:rPr>
      </w:pPr>
      <w:r>
        <w:rPr>
          <w:rFonts w:ascii="Tahoma" w:hAnsi="Tahoma" w:cs="Tahoma"/>
        </w:rPr>
        <w:t xml:space="preserve"> </w:t>
      </w:r>
    </w:p>
    <w:p w14:paraId="2EDFD831" w14:textId="77777777" w:rsidR="00E7479D" w:rsidRDefault="00E7479D" w:rsidP="00A444C0">
      <w:pPr>
        <w:jc w:val="both"/>
        <w:rPr>
          <w:rFonts w:ascii="Tahoma" w:hAnsi="Tahoma" w:cs="Tahoma"/>
        </w:rPr>
      </w:pPr>
    </w:p>
    <w:p w14:paraId="0A33CE1B" w14:textId="77777777" w:rsidR="00A444C0" w:rsidRDefault="00A444C0" w:rsidP="00A444C0">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0D75CACE" w:rsidR="00583BC8" w:rsidRDefault="00E7479D" w:rsidP="00B41C02">
      <w:pPr>
        <w:jc w:val="both"/>
        <w:rPr>
          <w:rFonts w:ascii="Tahoma" w:hAnsi="Tahoma" w:cs="Tahoma"/>
        </w:rPr>
      </w:pPr>
      <w:r>
        <w:rPr>
          <w:noProof/>
        </w:rPr>
        <w:drawing>
          <wp:inline distT="0" distB="0" distL="0" distR="0" wp14:anchorId="7F6E6F0C" wp14:editId="734B2932">
            <wp:extent cx="5760720" cy="4320540"/>
            <wp:effectExtent l="0" t="0" r="0" b="3810"/>
            <wp:docPr id="1713268687"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67B8B186" w14:textId="2F4122EF" w:rsidR="00467005" w:rsidRDefault="00BA1D9A" w:rsidP="00041E45">
      <w:pPr>
        <w:jc w:val="both"/>
        <w:rPr>
          <w:rFonts w:ascii="Tahoma" w:hAnsi="Tahoma" w:cs="Tahoma"/>
        </w:rPr>
      </w:pPr>
      <w:r>
        <w:rPr>
          <w:rFonts w:ascii="Tahoma" w:hAnsi="Tahoma" w:cs="Tahoma"/>
        </w:rPr>
        <w:t xml:space="preserve">Sur cette unité de temps, les cours viennent de s’affranchir du nuage. Le maintien des prix </w:t>
      </w:r>
      <w:r w:rsidR="003F6A16">
        <w:rPr>
          <w:rFonts w:ascii="Tahoma" w:hAnsi="Tahoma" w:cs="Tahoma"/>
        </w:rPr>
        <w:t>au-dessus</w:t>
      </w:r>
      <w:r>
        <w:rPr>
          <w:rFonts w:ascii="Tahoma" w:hAnsi="Tahoma" w:cs="Tahoma"/>
        </w:rPr>
        <w:t xml:space="preserve"> de 121.93 sera la condition </w:t>
      </w:r>
      <w:r w:rsidR="003F6A16">
        <w:rPr>
          <w:rFonts w:ascii="Tahoma" w:hAnsi="Tahoma" w:cs="Tahoma"/>
        </w:rPr>
        <w:t>nécessaire</w:t>
      </w:r>
      <w:r>
        <w:rPr>
          <w:rFonts w:ascii="Tahoma" w:hAnsi="Tahoma" w:cs="Tahoma"/>
        </w:rPr>
        <w:t xml:space="preserve"> pour envisager une phase de consolidation ou une poursuite de la hausse. La poursuite de la hausse permettra à la TS </w:t>
      </w:r>
      <w:r w:rsidR="003F6A16">
        <w:rPr>
          <w:rFonts w:ascii="Tahoma" w:hAnsi="Tahoma" w:cs="Tahoma"/>
        </w:rPr>
        <w:t>de</w:t>
      </w:r>
      <w:r>
        <w:rPr>
          <w:rFonts w:ascii="Tahoma" w:hAnsi="Tahoma" w:cs="Tahoma"/>
        </w:rPr>
        <w:t xml:space="preserve"> continuer sa progression et à la SSA de croiser à la hausse la SSB.</w:t>
      </w:r>
      <w:r w:rsidR="00FE531E">
        <w:rPr>
          <w:rFonts w:ascii="Tahoma" w:hAnsi="Tahoma" w:cs="Tahoma"/>
        </w:rPr>
        <w:t xml:space="preserve"> Ce croisement militera dans un premier temps pour la fin du mouvement de baisse, laissant le </w:t>
      </w:r>
      <w:r w:rsidR="009D02C9">
        <w:rPr>
          <w:rFonts w:ascii="Tahoma" w:hAnsi="Tahoma" w:cs="Tahoma"/>
        </w:rPr>
        <w:t>marché</w:t>
      </w:r>
      <w:r w:rsidR="00FE531E">
        <w:rPr>
          <w:rFonts w:ascii="Tahoma" w:hAnsi="Tahoma" w:cs="Tahoma"/>
        </w:rPr>
        <w:t xml:space="preserve"> choisir entre consolidation ou hausse des prix.</w:t>
      </w:r>
    </w:p>
    <w:p w14:paraId="586FAF1C" w14:textId="05AB2A27" w:rsidR="00F02340" w:rsidRDefault="00F02340" w:rsidP="00041E45">
      <w:pPr>
        <w:jc w:val="both"/>
        <w:rPr>
          <w:rFonts w:ascii="Tahoma" w:hAnsi="Tahoma" w:cs="Tahoma"/>
        </w:rPr>
      </w:pPr>
      <w:r>
        <w:rPr>
          <w:rFonts w:ascii="Tahoma" w:hAnsi="Tahoma" w:cs="Tahoma"/>
        </w:rPr>
        <w:lastRenderedPageBreak/>
        <w:t>Mais la dernière chandelle qui a touché un point haut cette semaine sur 122.64, manque de conviction. La succession de bougie de la semaine, composée essentiellement de mèches montre que l’indétermination reste dominante. Ce manque de conviction fragilise le mouvement qui se développe. A l’approche de la résistance hebdomadaire de 123.02, la configuration graphique laisse peu de place à un dépassement.</w:t>
      </w:r>
    </w:p>
    <w:p w14:paraId="44CE7570" w14:textId="77777777" w:rsidR="00F02340" w:rsidRDefault="00F02340" w:rsidP="00041E45">
      <w:pPr>
        <w:jc w:val="both"/>
        <w:rPr>
          <w:rFonts w:ascii="Tahoma" w:hAnsi="Tahoma" w:cs="Tahoma"/>
        </w:rPr>
      </w:pPr>
    </w:p>
    <w:p w14:paraId="10BB9766" w14:textId="77777777" w:rsidR="00723F77" w:rsidRDefault="00723F77" w:rsidP="00041E45">
      <w:pPr>
        <w:jc w:val="both"/>
        <w:rPr>
          <w:rFonts w:ascii="Tahoma" w:hAnsi="Tahoma" w:cs="Tahoma"/>
        </w:rPr>
      </w:pPr>
    </w:p>
    <w:p w14:paraId="258EB8FF" w14:textId="2049DAB4" w:rsidR="00B94D71" w:rsidRDefault="00B94D71" w:rsidP="00BB2DB4">
      <w:pPr>
        <w:spacing w:after="0"/>
        <w:jc w:val="both"/>
        <w:rPr>
          <w:rFonts w:ascii="Tahoma" w:hAnsi="Tahoma" w:cs="Tahoma"/>
        </w:rPr>
      </w:pPr>
      <w:r>
        <w:rPr>
          <w:rFonts w:ascii="Tahoma" w:hAnsi="Tahoma" w:cs="Tahoma"/>
          <w:u w:val="single"/>
        </w:rPr>
        <w:t>CONCLUSION</w:t>
      </w:r>
      <w:r>
        <w:rPr>
          <w:rFonts w:ascii="Tahoma" w:hAnsi="Tahoma" w:cs="Tahoma"/>
        </w:rPr>
        <w:t> :</w:t>
      </w:r>
      <w:r w:rsidR="00B438AA">
        <w:rPr>
          <w:rFonts w:ascii="Tahoma" w:hAnsi="Tahoma" w:cs="Tahoma"/>
        </w:rPr>
        <w:t xml:space="preserve"> le dépassement de 121.93 est positif mais </w:t>
      </w:r>
      <w:r w:rsidR="00302379">
        <w:rPr>
          <w:rFonts w:ascii="Tahoma" w:hAnsi="Tahoma" w:cs="Tahoma"/>
        </w:rPr>
        <w:t>la vague de hausse</w:t>
      </w:r>
      <w:r w:rsidR="00B438AA">
        <w:rPr>
          <w:rFonts w:ascii="Tahoma" w:hAnsi="Tahoma" w:cs="Tahoma"/>
        </w:rPr>
        <w:t xml:space="preserve"> se fait sans détermination. Un maintien </w:t>
      </w:r>
      <w:r w:rsidR="009D02C9">
        <w:rPr>
          <w:rFonts w:ascii="Tahoma" w:hAnsi="Tahoma" w:cs="Tahoma"/>
        </w:rPr>
        <w:t>au-dessus</w:t>
      </w:r>
      <w:r w:rsidR="00B438AA">
        <w:rPr>
          <w:rFonts w:ascii="Tahoma" w:hAnsi="Tahoma" w:cs="Tahoma"/>
        </w:rPr>
        <w:t xml:space="preserve"> de 121.93 permettra de rester positif au cours de la semaine et d’envisager soit une consolidation soit une poursuite de la hausse. En tous cas la baisse sera exclue.</w:t>
      </w:r>
    </w:p>
    <w:p w14:paraId="7D690AFD" w14:textId="3F0C2F61" w:rsidR="006C2F78" w:rsidRDefault="00B438AA" w:rsidP="00B94D71">
      <w:pPr>
        <w:jc w:val="both"/>
        <w:rPr>
          <w:rFonts w:ascii="Tahoma" w:hAnsi="Tahoma" w:cs="Tahoma"/>
        </w:rPr>
      </w:pPr>
      <w:r>
        <w:rPr>
          <w:rFonts w:ascii="Tahoma" w:hAnsi="Tahoma" w:cs="Tahoma"/>
        </w:rPr>
        <w:t>123.02</w:t>
      </w:r>
      <w:r w:rsidR="006C2F78">
        <w:rPr>
          <w:rFonts w:ascii="Tahoma" w:hAnsi="Tahoma" w:cs="Tahoma"/>
        </w:rPr>
        <w:t xml:space="preserve">, plat de KS </w:t>
      </w:r>
      <w:r w:rsidR="009D02C9">
        <w:rPr>
          <w:rFonts w:ascii="Tahoma" w:hAnsi="Tahoma" w:cs="Tahoma"/>
        </w:rPr>
        <w:t>hebdomadaire</w:t>
      </w:r>
      <w:r>
        <w:rPr>
          <w:rFonts w:ascii="Tahoma" w:hAnsi="Tahoma" w:cs="Tahoma"/>
        </w:rPr>
        <w:t xml:space="preserve"> sera probablement difficile à dépasser vue l’incertitude dominante</w:t>
      </w:r>
      <w:r w:rsidR="006C2F78">
        <w:rPr>
          <w:rFonts w:ascii="Tahoma" w:hAnsi="Tahoma" w:cs="Tahoma"/>
        </w:rPr>
        <w:t xml:space="preserve">. </w:t>
      </w:r>
      <w:r w:rsidR="003F6A16">
        <w:rPr>
          <w:rFonts w:ascii="Tahoma" w:hAnsi="Tahoma" w:cs="Tahoma"/>
        </w:rPr>
        <w:t>Au-dessus</w:t>
      </w:r>
      <w:r w:rsidR="006C2F78">
        <w:rPr>
          <w:rFonts w:ascii="Tahoma" w:hAnsi="Tahoma" w:cs="Tahoma"/>
        </w:rPr>
        <w:t xml:space="preserve"> nous </w:t>
      </w:r>
      <w:r w:rsidR="003F6A16">
        <w:rPr>
          <w:rFonts w:ascii="Tahoma" w:hAnsi="Tahoma" w:cs="Tahoma"/>
        </w:rPr>
        <w:t>retournerons</w:t>
      </w:r>
      <w:r w:rsidR="006C2F78">
        <w:rPr>
          <w:rFonts w:ascii="Tahoma" w:hAnsi="Tahoma" w:cs="Tahoma"/>
        </w:rPr>
        <w:t xml:space="preserve"> le plat de TS mensuel de 123.92</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0ABC"/>
    <w:rsid w:val="00041E45"/>
    <w:rsid w:val="0005155D"/>
    <w:rsid w:val="000524C5"/>
    <w:rsid w:val="00052C40"/>
    <w:rsid w:val="000556C3"/>
    <w:rsid w:val="000833FB"/>
    <w:rsid w:val="00092058"/>
    <w:rsid w:val="000938CC"/>
    <w:rsid w:val="000B221E"/>
    <w:rsid w:val="000B7DFC"/>
    <w:rsid w:val="000C0DE4"/>
    <w:rsid w:val="000C401A"/>
    <w:rsid w:val="000D4ED3"/>
    <w:rsid w:val="001018AD"/>
    <w:rsid w:val="00103ED4"/>
    <w:rsid w:val="00105B4E"/>
    <w:rsid w:val="00134AFA"/>
    <w:rsid w:val="00135766"/>
    <w:rsid w:val="0014687D"/>
    <w:rsid w:val="00147AFD"/>
    <w:rsid w:val="0015581D"/>
    <w:rsid w:val="00163C46"/>
    <w:rsid w:val="001705F4"/>
    <w:rsid w:val="00190995"/>
    <w:rsid w:val="001A4796"/>
    <w:rsid w:val="001D474B"/>
    <w:rsid w:val="001F650A"/>
    <w:rsid w:val="002003AD"/>
    <w:rsid w:val="002421FE"/>
    <w:rsid w:val="00262E25"/>
    <w:rsid w:val="00263ED0"/>
    <w:rsid w:val="002A1F8E"/>
    <w:rsid w:val="002B5CB1"/>
    <w:rsid w:val="002C0A31"/>
    <w:rsid w:val="002F54B0"/>
    <w:rsid w:val="00302379"/>
    <w:rsid w:val="00303214"/>
    <w:rsid w:val="0030643B"/>
    <w:rsid w:val="00324829"/>
    <w:rsid w:val="00337611"/>
    <w:rsid w:val="00340FD9"/>
    <w:rsid w:val="00352DD9"/>
    <w:rsid w:val="003767E0"/>
    <w:rsid w:val="00397D3D"/>
    <w:rsid w:val="003F6A16"/>
    <w:rsid w:val="0040171B"/>
    <w:rsid w:val="00467005"/>
    <w:rsid w:val="004A2D2D"/>
    <w:rsid w:val="004A5154"/>
    <w:rsid w:val="004F48EE"/>
    <w:rsid w:val="00531928"/>
    <w:rsid w:val="005440A4"/>
    <w:rsid w:val="00546A5A"/>
    <w:rsid w:val="00566580"/>
    <w:rsid w:val="00567AF3"/>
    <w:rsid w:val="00583BC8"/>
    <w:rsid w:val="00654380"/>
    <w:rsid w:val="00664BE1"/>
    <w:rsid w:val="006B055C"/>
    <w:rsid w:val="006C2F78"/>
    <w:rsid w:val="006E32BB"/>
    <w:rsid w:val="006E38E0"/>
    <w:rsid w:val="00710599"/>
    <w:rsid w:val="00723F77"/>
    <w:rsid w:val="00744696"/>
    <w:rsid w:val="00772067"/>
    <w:rsid w:val="0077545D"/>
    <w:rsid w:val="007970C0"/>
    <w:rsid w:val="007A0A4B"/>
    <w:rsid w:val="007A0E6C"/>
    <w:rsid w:val="007B1237"/>
    <w:rsid w:val="007B2019"/>
    <w:rsid w:val="007B661D"/>
    <w:rsid w:val="007D19FF"/>
    <w:rsid w:val="007D2085"/>
    <w:rsid w:val="007D4181"/>
    <w:rsid w:val="0083454A"/>
    <w:rsid w:val="00837B38"/>
    <w:rsid w:val="00874515"/>
    <w:rsid w:val="00896554"/>
    <w:rsid w:val="008A7407"/>
    <w:rsid w:val="008E14C8"/>
    <w:rsid w:val="008F10C2"/>
    <w:rsid w:val="00902D2F"/>
    <w:rsid w:val="00961FDF"/>
    <w:rsid w:val="00983B7D"/>
    <w:rsid w:val="009A37C2"/>
    <w:rsid w:val="009D02C9"/>
    <w:rsid w:val="009F3AB8"/>
    <w:rsid w:val="00A11606"/>
    <w:rsid w:val="00A444C0"/>
    <w:rsid w:val="00A6401C"/>
    <w:rsid w:val="00A81AB7"/>
    <w:rsid w:val="00AA522C"/>
    <w:rsid w:val="00AE7F3B"/>
    <w:rsid w:val="00B34260"/>
    <w:rsid w:val="00B41C02"/>
    <w:rsid w:val="00B4335A"/>
    <w:rsid w:val="00B438AA"/>
    <w:rsid w:val="00B50E38"/>
    <w:rsid w:val="00B554B8"/>
    <w:rsid w:val="00B64EE0"/>
    <w:rsid w:val="00B94D71"/>
    <w:rsid w:val="00BA1D9A"/>
    <w:rsid w:val="00BB0E32"/>
    <w:rsid w:val="00BB2DB4"/>
    <w:rsid w:val="00BB6D9D"/>
    <w:rsid w:val="00BC77A5"/>
    <w:rsid w:val="00BD3FC1"/>
    <w:rsid w:val="00C17ED7"/>
    <w:rsid w:val="00C41F15"/>
    <w:rsid w:val="00C70171"/>
    <w:rsid w:val="00C70A68"/>
    <w:rsid w:val="00C82E98"/>
    <w:rsid w:val="00CB17C9"/>
    <w:rsid w:val="00CC72FF"/>
    <w:rsid w:val="00CC7C21"/>
    <w:rsid w:val="00CE0886"/>
    <w:rsid w:val="00CF2516"/>
    <w:rsid w:val="00CF6D63"/>
    <w:rsid w:val="00D16215"/>
    <w:rsid w:val="00D23B28"/>
    <w:rsid w:val="00D46C8D"/>
    <w:rsid w:val="00DA1359"/>
    <w:rsid w:val="00DD23A4"/>
    <w:rsid w:val="00DE5444"/>
    <w:rsid w:val="00DF072F"/>
    <w:rsid w:val="00E117CA"/>
    <w:rsid w:val="00E32014"/>
    <w:rsid w:val="00E3727C"/>
    <w:rsid w:val="00E64D16"/>
    <w:rsid w:val="00E7479D"/>
    <w:rsid w:val="00EB58BA"/>
    <w:rsid w:val="00EE6B93"/>
    <w:rsid w:val="00EF7252"/>
    <w:rsid w:val="00F02340"/>
    <w:rsid w:val="00F04A6E"/>
    <w:rsid w:val="00F04DEF"/>
    <w:rsid w:val="00F31070"/>
    <w:rsid w:val="00F53F10"/>
    <w:rsid w:val="00F636F8"/>
    <w:rsid w:val="00FA2C8E"/>
    <w:rsid w:val="00FC1860"/>
    <w:rsid w:val="00FC7EA5"/>
    <w:rsid w:val="00FE531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640</TotalTime>
  <Pages>5</Pages>
  <Words>639</Words>
  <Characters>3520</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116</cp:revision>
  <dcterms:created xsi:type="dcterms:W3CDTF">2021-11-25T09:44:00Z</dcterms:created>
  <dcterms:modified xsi:type="dcterms:W3CDTF">2026-11-01T14:02:00Z</dcterms:modified>
</cp:coreProperties>
</file>